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16221" w14:textId="77777777" w:rsidR="009F5EC0" w:rsidRDefault="009F5EC0" w:rsidP="009F5EC0">
      <w:pPr>
        <w:pStyle w:val="Title"/>
        <w:spacing w:after="0" w:line="240" w:lineRule="auto"/>
        <w:jc w:val="center"/>
        <w:rPr>
          <w:b/>
          <w:sz w:val="24"/>
          <w:szCs w:val="24"/>
        </w:rPr>
      </w:pPr>
      <w:r>
        <w:rPr>
          <w:b/>
          <w:sz w:val="24"/>
          <w:szCs w:val="24"/>
        </w:rPr>
        <w:t xml:space="preserve">References </w:t>
      </w:r>
    </w:p>
    <w:p w14:paraId="066E4B3B" w14:textId="77777777" w:rsidR="009F5EC0" w:rsidRPr="009F5EC0" w:rsidRDefault="009F5EC0" w:rsidP="009F5EC0"/>
    <w:p w14:paraId="5048D599" w14:textId="77777777" w:rsidR="00B05D78" w:rsidRDefault="00B0694D" w:rsidP="00CC70EF">
      <w:pPr>
        <w:pStyle w:val="Title"/>
        <w:spacing w:after="0" w:line="240" w:lineRule="auto"/>
        <w:rPr>
          <w:sz w:val="24"/>
          <w:szCs w:val="24"/>
          <w:highlight w:val="white"/>
        </w:rPr>
      </w:pPr>
      <w:r>
        <w:rPr>
          <w:b/>
          <w:sz w:val="24"/>
          <w:szCs w:val="24"/>
        </w:rPr>
        <w:t>Academic Literature:</w:t>
      </w:r>
    </w:p>
    <w:p w14:paraId="15372D25" w14:textId="77777777" w:rsidR="006A5622" w:rsidRDefault="006A5622" w:rsidP="00CC70EF">
      <w:pPr>
        <w:spacing w:line="240" w:lineRule="auto"/>
      </w:pPr>
    </w:p>
    <w:p w14:paraId="00CBA0C3" w14:textId="77777777" w:rsidR="00B05D78" w:rsidRDefault="00B0694D" w:rsidP="00CC70EF">
      <w:pPr>
        <w:spacing w:line="240" w:lineRule="auto"/>
        <w:rPr>
          <w:sz w:val="24"/>
          <w:szCs w:val="24"/>
        </w:rPr>
      </w:pPr>
      <w:r>
        <w:rPr>
          <w:sz w:val="24"/>
          <w:szCs w:val="24"/>
        </w:rPr>
        <w:t xml:space="preserve">Anderson, E. N. (2014). </w:t>
      </w:r>
      <w:r>
        <w:rPr>
          <w:i/>
          <w:sz w:val="24"/>
          <w:szCs w:val="24"/>
        </w:rPr>
        <w:t>Everyone eats: Understanding food and culture, second edition</w:t>
      </w:r>
      <w:r>
        <w:rPr>
          <w:sz w:val="24"/>
          <w:szCs w:val="24"/>
        </w:rPr>
        <w:t xml:space="preserve">. </w:t>
      </w:r>
    </w:p>
    <w:p w14:paraId="1EE314C9" w14:textId="77777777" w:rsidR="00B05D78" w:rsidRDefault="00B0694D" w:rsidP="00CC70EF">
      <w:pPr>
        <w:spacing w:line="240" w:lineRule="auto"/>
        <w:ind w:left="720"/>
        <w:rPr>
          <w:sz w:val="24"/>
          <w:szCs w:val="24"/>
        </w:rPr>
      </w:pPr>
      <w:r>
        <w:rPr>
          <w:sz w:val="24"/>
          <w:szCs w:val="24"/>
        </w:rPr>
        <w:t xml:space="preserve">New York University Press. </w:t>
      </w:r>
      <w:hyperlink r:id="rId5">
        <w:r>
          <w:rPr>
            <w:color w:val="1155CC"/>
            <w:sz w:val="24"/>
            <w:szCs w:val="24"/>
            <w:u w:val="single"/>
          </w:rPr>
          <w:t>https://www.jstor.org/stable/j.ctt9qfm0f</w:t>
        </w:r>
      </w:hyperlink>
    </w:p>
    <w:p w14:paraId="08A1227D" w14:textId="77777777" w:rsidR="00B05D78" w:rsidRDefault="00B05D78" w:rsidP="00CC70EF">
      <w:pPr>
        <w:spacing w:line="240" w:lineRule="auto"/>
        <w:rPr>
          <w:sz w:val="24"/>
          <w:szCs w:val="24"/>
          <w:highlight w:val="white"/>
        </w:rPr>
      </w:pPr>
    </w:p>
    <w:p w14:paraId="28B4CE9F" w14:textId="77777777" w:rsidR="00B05D78" w:rsidRDefault="00B0694D" w:rsidP="00CC70EF">
      <w:pPr>
        <w:spacing w:line="240" w:lineRule="auto"/>
        <w:ind w:left="720" w:hanging="720"/>
        <w:rPr>
          <w:sz w:val="24"/>
          <w:szCs w:val="24"/>
          <w:highlight w:val="white"/>
        </w:rPr>
      </w:pPr>
      <w:proofErr w:type="spellStart"/>
      <w:r>
        <w:rPr>
          <w:sz w:val="24"/>
          <w:szCs w:val="24"/>
          <w:highlight w:val="white"/>
        </w:rPr>
        <w:t>Arceo</w:t>
      </w:r>
      <w:proofErr w:type="spellEnd"/>
      <w:r>
        <w:rPr>
          <w:sz w:val="24"/>
          <w:szCs w:val="24"/>
          <w:highlight w:val="white"/>
        </w:rPr>
        <w:t xml:space="preserve">-Gomez, E. O., &amp; Campos-Vazquez, R. M. (2014). Race and marriage in the labor market: A discrimination audit study in a developing country. </w:t>
      </w:r>
      <w:r>
        <w:rPr>
          <w:i/>
          <w:sz w:val="24"/>
          <w:szCs w:val="24"/>
          <w:highlight w:val="white"/>
        </w:rPr>
        <w:t>The American Economic Review</w:t>
      </w:r>
      <w:r>
        <w:rPr>
          <w:sz w:val="24"/>
          <w:szCs w:val="24"/>
          <w:highlight w:val="white"/>
        </w:rPr>
        <w:t xml:space="preserve">, </w:t>
      </w:r>
      <w:r>
        <w:rPr>
          <w:i/>
          <w:sz w:val="24"/>
          <w:szCs w:val="24"/>
          <w:highlight w:val="white"/>
        </w:rPr>
        <w:t>104</w:t>
      </w:r>
      <w:r>
        <w:rPr>
          <w:sz w:val="24"/>
          <w:szCs w:val="24"/>
          <w:highlight w:val="white"/>
        </w:rPr>
        <w:t xml:space="preserve">(5), 376-380. doi:10.1257/aer.104.5.376 </w:t>
      </w:r>
    </w:p>
    <w:p w14:paraId="3B67643E" w14:textId="77777777" w:rsidR="00B05D78" w:rsidRDefault="00B05D78" w:rsidP="00CC70EF">
      <w:pPr>
        <w:spacing w:line="240" w:lineRule="auto"/>
        <w:ind w:left="720" w:hanging="720"/>
        <w:rPr>
          <w:sz w:val="24"/>
          <w:szCs w:val="24"/>
          <w:highlight w:val="white"/>
        </w:rPr>
      </w:pPr>
    </w:p>
    <w:p w14:paraId="087D82BE" w14:textId="77777777" w:rsidR="00B05D78" w:rsidRDefault="00B0694D" w:rsidP="00CC70EF">
      <w:pPr>
        <w:spacing w:line="240" w:lineRule="auto"/>
        <w:ind w:left="720" w:hanging="720"/>
        <w:rPr>
          <w:sz w:val="24"/>
          <w:szCs w:val="24"/>
          <w:highlight w:val="white"/>
        </w:rPr>
      </w:pPr>
      <w:r>
        <w:rPr>
          <w:sz w:val="24"/>
          <w:szCs w:val="24"/>
          <w:highlight w:val="white"/>
        </w:rPr>
        <w:t xml:space="preserve">Bartlett, C., Marshall, M., &amp; Marshall, A. (2012). Two-eyed seeing and other lessons learned within a co-learning journey of bringing together Indigenous and mainstream knowledges and ways of knowing. </w:t>
      </w:r>
      <w:r>
        <w:rPr>
          <w:i/>
          <w:sz w:val="24"/>
          <w:szCs w:val="24"/>
          <w:highlight w:val="white"/>
        </w:rPr>
        <w:t>Journal of Environmental Studies and Sciences, 2,</w:t>
      </w:r>
      <w:r>
        <w:rPr>
          <w:sz w:val="24"/>
          <w:szCs w:val="24"/>
          <w:highlight w:val="white"/>
        </w:rPr>
        <w:t xml:space="preserve"> 331-340. </w:t>
      </w:r>
      <w:hyperlink r:id="rId6">
        <w:r>
          <w:rPr>
            <w:color w:val="1155CC"/>
            <w:sz w:val="24"/>
            <w:szCs w:val="24"/>
            <w:highlight w:val="white"/>
            <w:u w:val="single"/>
          </w:rPr>
          <w:t>https://doi.org/10.1007/s13412-012-0086-8</w:t>
        </w:r>
      </w:hyperlink>
    </w:p>
    <w:p w14:paraId="520D7782" w14:textId="77777777" w:rsidR="00B05D78" w:rsidRDefault="00B05D78" w:rsidP="00CC70EF">
      <w:pPr>
        <w:spacing w:line="240" w:lineRule="auto"/>
        <w:rPr>
          <w:sz w:val="24"/>
          <w:szCs w:val="24"/>
          <w:highlight w:val="white"/>
        </w:rPr>
      </w:pPr>
    </w:p>
    <w:p w14:paraId="69AE90D0" w14:textId="77777777" w:rsidR="00B05D78" w:rsidRDefault="00B0694D" w:rsidP="00CC70EF">
      <w:pPr>
        <w:spacing w:line="240" w:lineRule="auto"/>
        <w:rPr>
          <w:i/>
          <w:sz w:val="24"/>
          <w:szCs w:val="24"/>
          <w:highlight w:val="white"/>
        </w:rPr>
      </w:pPr>
      <w:r>
        <w:rPr>
          <w:sz w:val="24"/>
          <w:szCs w:val="24"/>
          <w:highlight w:val="white"/>
        </w:rPr>
        <w:t xml:space="preserve">Baum, F., MacDougall, C., &amp; Smith, D. (2006). Participatory action research. </w:t>
      </w:r>
      <w:r>
        <w:rPr>
          <w:i/>
          <w:sz w:val="24"/>
          <w:szCs w:val="24"/>
          <w:highlight w:val="white"/>
        </w:rPr>
        <w:t xml:space="preserve">Journal of </w:t>
      </w:r>
    </w:p>
    <w:p w14:paraId="68F66C8D" w14:textId="77777777" w:rsidR="00B05D78" w:rsidRDefault="00B0694D" w:rsidP="00CC70EF">
      <w:pPr>
        <w:spacing w:line="240" w:lineRule="auto"/>
        <w:ind w:left="720"/>
        <w:rPr>
          <w:sz w:val="24"/>
          <w:szCs w:val="24"/>
          <w:highlight w:val="white"/>
        </w:rPr>
      </w:pPr>
      <w:r>
        <w:rPr>
          <w:i/>
          <w:sz w:val="24"/>
          <w:szCs w:val="24"/>
          <w:highlight w:val="white"/>
        </w:rPr>
        <w:t>Epidemiology and Community Health</w:t>
      </w:r>
      <w:r>
        <w:rPr>
          <w:sz w:val="24"/>
          <w:szCs w:val="24"/>
          <w:highlight w:val="white"/>
        </w:rPr>
        <w:t xml:space="preserve">, </w:t>
      </w:r>
      <w:r>
        <w:rPr>
          <w:i/>
          <w:sz w:val="24"/>
          <w:szCs w:val="24"/>
          <w:highlight w:val="white"/>
        </w:rPr>
        <w:t>60</w:t>
      </w:r>
      <w:r>
        <w:rPr>
          <w:sz w:val="24"/>
          <w:szCs w:val="24"/>
          <w:highlight w:val="white"/>
        </w:rPr>
        <w:t xml:space="preserve">(10), 854–857. </w:t>
      </w:r>
      <w:hyperlink r:id="rId7">
        <w:r>
          <w:rPr>
            <w:color w:val="1155CC"/>
            <w:sz w:val="24"/>
            <w:szCs w:val="24"/>
            <w:highlight w:val="white"/>
            <w:u w:val="single"/>
          </w:rPr>
          <w:t>https://jech.bmj.com/content/60/10/854</w:t>
        </w:r>
      </w:hyperlink>
      <w:r>
        <w:rPr>
          <w:sz w:val="24"/>
          <w:szCs w:val="24"/>
          <w:highlight w:val="white"/>
        </w:rPr>
        <w:t xml:space="preserve"> </w:t>
      </w:r>
    </w:p>
    <w:p w14:paraId="50AF5A21" w14:textId="77777777" w:rsidR="00B05D78" w:rsidRDefault="00B05D78" w:rsidP="00CC70EF">
      <w:pPr>
        <w:spacing w:line="240" w:lineRule="auto"/>
        <w:rPr>
          <w:sz w:val="24"/>
          <w:szCs w:val="24"/>
          <w:highlight w:val="white"/>
        </w:rPr>
      </w:pPr>
    </w:p>
    <w:p w14:paraId="722175F5" w14:textId="77777777" w:rsidR="00CC70EF" w:rsidRDefault="00B0694D" w:rsidP="00CC70EF">
      <w:pPr>
        <w:spacing w:line="240" w:lineRule="auto"/>
        <w:rPr>
          <w:sz w:val="24"/>
          <w:szCs w:val="24"/>
          <w:highlight w:val="white"/>
        </w:rPr>
      </w:pPr>
      <w:r>
        <w:rPr>
          <w:sz w:val="24"/>
          <w:szCs w:val="24"/>
          <w:highlight w:val="white"/>
        </w:rPr>
        <w:t xml:space="preserve">Berman, G., &amp; </w:t>
      </w:r>
      <w:proofErr w:type="spellStart"/>
      <w:r>
        <w:rPr>
          <w:sz w:val="24"/>
          <w:szCs w:val="24"/>
          <w:highlight w:val="white"/>
        </w:rPr>
        <w:t>Paradies</w:t>
      </w:r>
      <w:proofErr w:type="spellEnd"/>
      <w:r>
        <w:rPr>
          <w:sz w:val="24"/>
          <w:szCs w:val="24"/>
          <w:highlight w:val="white"/>
        </w:rPr>
        <w:t>, Y. (2010). Racism, disadvantage and multiculturalism:</w:t>
      </w:r>
    </w:p>
    <w:p w14:paraId="08B72D45" w14:textId="77777777" w:rsidR="00CC70EF" w:rsidRDefault="00B0694D" w:rsidP="00CC70EF">
      <w:pPr>
        <w:spacing w:line="240" w:lineRule="auto"/>
        <w:ind w:firstLine="720"/>
        <w:rPr>
          <w:sz w:val="24"/>
          <w:szCs w:val="24"/>
          <w:highlight w:val="white"/>
        </w:rPr>
      </w:pPr>
      <w:r>
        <w:rPr>
          <w:sz w:val="24"/>
          <w:szCs w:val="24"/>
          <w:highlight w:val="white"/>
        </w:rPr>
        <w:t>Towards</w:t>
      </w:r>
      <w:r w:rsidR="00CC70EF">
        <w:rPr>
          <w:sz w:val="24"/>
          <w:szCs w:val="24"/>
          <w:highlight w:val="white"/>
        </w:rPr>
        <w:t xml:space="preserve"> </w:t>
      </w:r>
      <w:r>
        <w:rPr>
          <w:sz w:val="24"/>
          <w:szCs w:val="24"/>
          <w:highlight w:val="white"/>
        </w:rPr>
        <w:t xml:space="preserve">effective anti-racist praxis. </w:t>
      </w:r>
      <w:r>
        <w:rPr>
          <w:i/>
          <w:sz w:val="24"/>
          <w:szCs w:val="24"/>
          <w:highlight w:val="white"/>
        </w:rPr>
        <w:t>Ethnic and Racial Studies</w:t>
      </w:r>
      <w:r>
        <w:rPr>
          <w:sz w:val="24"/>
          <w:szCs w:val="24"/>
          <w:highlight w:val="white"/>
        </w:rPr>
        <w:t xml:space="preserve">, </w:t>
      </w:r>
      <w:r>
        <w:rPr>
          <w:i/>
          <w:sz w:val="24"/>
          <w:szCs w:val="24"/>
          <w:highlight w:val="white"/>
        </w:rPr>
        <w:t>33</w:t>
      </w:r>
      <w:r>
        <w:rPr>
          <w:sz w:val="24"/>
          <w:szCs w:val="24"/>
          <w:highlight w:val="white"/>
        </w:rPr>
        <w:t>(2), 214–232.</w:t>
      </w:r>
    </w:p>
    <w:p w14:paraId="76506DE1" w14:textId="77777777" w:rsidR="00B05D78" w:rsidRPr="00CC70EF" w:rsidRDefault="00B0694D" w:rsidP="00CC70EF">
      <w:pPr>
        <w:spacing w:line="240" w:lineRule="auto"/>
        <w:ind w:firstLine="720"/>
        <w:rPr>
          <w:sz w:val="24"/>
          <w:szCs w:val="24"/>
          <w:highlight w:val="white"/>
        </w:rPr>
      </w:pPr>
      <w:r>
        <w:rPr>
          <w:sz w:val="24"/>
          <w:szCs w:val="24"/>
          <w:highlight w:val="white"/>
        </w:rPr>
        <w:t>doi:10.1080/01419870802302272</w:t>
      </w:r>
    </w:p>
    <w:p w14:paraId="06944B53" w14:textId="77777777" w:rsidR="00B05D78" w:rsidRDefault="00B05D78" w:rsidP="00CC70EF">
      <w:pPr>
        <w:spacing w:line="240" w:lineRule="auto"/>
        <w:rPr>
          <w:sz w:val="24"/>
          <w:szCs w:val="24"/>
          <w:highlight w:val="white"/>
        </w:rPr>
      </w:pPr>
    </w:p>
    <w:p w14:paraId="021A68ED" w14:textId="77777777" w:rsidR="00B05D78" w:rsidRDefault="00B0694D" w:rsidP="00CC70EF">
      <w:pPr>
        <w:spacing w:line="240" w:lineRule="auto"/>
        <w:ind w:left="720" w:hanging="720"/>
        <w:rPr>
          <w:sz w:val="24"/>
          <w:szCs w:val="24"/>
        </w:rPr>
      </w:pPr>
      <w:proofErr w:type="spellStart"/>
      <w:r>
        <w:rPr>
          <w:sz w:val="24"/>
          <w:szCs w:val="24"/>
        </w:rPr>
        <w:t>Bocskei</w:t>
      </w:r>
      <w:proofErr w:type="spellEnd"/>
      <w:r>
        <w:rPr>
          <w:sz w:val="24"/>
          <w:szCs w:val="24"/>
        </w:rPr>
        <w:t xml:space="preserve">, E. M., &amp; </w:t>
      </w:r>
      <w:proofErr w:type="spellStart"/>
      <w:r>
        <w:rPr>
          <w:sz w:val="24"/>
          <w:szCs w:val="24"/>
        </w:rPr>
        <w:t>Ostry</w:t>
      </w:r>
      <w:proofErr w:type="spellEnd"/>
      <w:r>
        <w:rPr>
          <w:sz w:val="24"/>
          <w:szCs w:val="24"/>
        </w:rPr>
        <w:t xml:space="preserve">, A. S. (2010). Charitable food programs in Victoria, BC. </w:t>
      </w:r>
      <w:r>
        <w:rPr>
          <w:i/>
          <w:sz w:val="24"/>
          <w:szCs w:val="24"/>
        </w:rPr>
        <w:t>Canadian Journal of Dietetic Practice and Research, 71</w:t>
      </w:r>
      <w:r>
        <w:rPr>
          <w:sz w:val="24"/>
          <w:szCs w:val="24"/>
        </w:rPr>
        <w:t xml:space="preserve">(1), 46-48. doi:10.3148/ 71.1.2010.46 </w:t>
      </w:r>
    </w:p>
    <w:p w14:paraId="4A38014C" w14:textId="77777777" w:rsidR="00B05D78" w:rsidRDefault="00B05D78" w:rsidP="00CC70EF">
      <w:pPr>
        <w:spacing w:line="240" w:lineRule="auto"/>
        <w:ind w:left="720" w:hanging="720"/>
        <w:rPr>
          <w:sz w:val="24"/>
          <w:szCs w:val="24"/>
        </w:rPr>
      </w:pPr>
    </w:p>
    <w:p w14:paraId="6196991A" w14:textId="77777777" w:rsidR="00B05D78" w:rsidRDefault="00B0694D" w:rsidP="00CC70EF">
      <w:pPr>
        <w:spacing w:line="240" w:lineRule="auto"/>
        <w:ind w:left="720" w:hanging="720"/>
        <w:rPr>
          <w:sz w:val="24"/>
          <w:szCs w:val="24"/>
        </w:rPr>
      </w:pPr>
      <w:r>
        <w:rPr>
          <w:sz w:val="24"/>
          <w:szCs w:val="24"/>
        </w:rPr>
        <w:t xml:space="preserve">Bodkin-Andrews, G., Lovelock, R., </w:t>
      </w:r>
      <w:proofErr w:type="spellStart"/>
      <w:r>
        <w:rPr>
          <w:sz w:val="24"/>
          <w:szCs w:val="24"/>
        </w:rPr>
        <w:t>Paradies</w:t>
      </w:r>
      <w:proofErr w:type="spellEnd"/>
      <w:r>
        <w:rPr>
          <w:sz w:val="24"/>
          <w:szCs w:val="24"/>
        </w:rPr>
        <w:t>, Y., Denson, N., Franklin, C., &amp; Priest, N. (2017). Not my family: Understanding the prevalence and impact of racism beyond individualistic experiences. In M. Walter, L. Karen, K. L. Martin, &amp; G. Bodkin-Andrews (Eds.),</w:t>
      </w:r>
      <w:r>
        <w:rPr>
          <w:i/>
          <w:sz w:val="24"/>
          <w:szCs w:val="24"/>
        </w:rPr>
        <w:t xml:space="preserve"> Indigenous children growing up strong</w:t>
      </w:r>
      <w:r>
        <w:rPr>
          <w:sz w:val="24"/>
          <w:szCs w:val="24"/>
        </w:rPr>
        <w:t xml:space="preserve"> (pp. 179–208). London, UK: Palgrave Macmillan.</w:t>
      </w:r>
    </w:p>
    <w:p w14:paraId="697C58C7" w14:textId="77777777" w:rsidR="00B05D78" w:rsidRDefault="00B05D78" w:rsidP="00CC70EF">
      <w:pPr>
        <w:spacing w:line="240" w:lineRule="auto"/>
        <w:ind w:firstLine="720"/>
        <w:rPr>
          <w:sz w:val="24"/>
          <w:szCs w:val="24"/>
        </w:rPr>
      </w:pPr>
    </w:p>
    <w:p w14:paraId="6266BE6E" w14:textId="77777777" w:rsidR="00B05D78" w:rsidRDefault="00B0694D" w:rsidP="00CC70EF">
      <w:pPr>
        <w:spacing w:line="240" w:lineRule="auto"/>
        <w:rPr>
          <w:sz w:val="24"/>
          <w:szCs w:val="24"/>
        </w:rPr>
      </w:pPr>
      <w:r>
        <w:rPr>
          <w:sz w:val="24"/>
          <w:szCs w:val="24"/>
        </w:rPr>
        <w:t xml:space="preserve">Booth, A. L., Leigh, A., &amp; </w:t>
      </w:r>
      <w:proofErr w:type="spellStart"/>
      <w:r>
        <w:rPr>
          <w:sz w:val="24"/>
          <w:szCs w:val="24"/>
        </w:rPr>
        <w:t>Varganova</w:t>
      </w:r>
      <w:proofErr w:type="spellEnd"/>
      <w:r>
        <w:rPr>
          <w:sz w:val="24"/>
          <w:szCs w:val="24"/>
        </w:rPr>
        <w:t xml:space="preserve">, E. (2012). Does ethnic discrimination vary across </w:t>
      </w:r>
    </w:p>
    <w:p w14:paraId="1AA470A2" w14:textId="77777777" w:rsidR="00B05D78" w:rsidRDefault="00B0694D" w:rsidP="00CC70EF">
      <w:pPr>
        <w:spacing w:line="240" w:lineRule="auto"/>
        <w:ind w:left="720"/>
        <w:rPr>
          <w:sz w:val="24"/>
          <w:szCs w:val="24"/>
          <w:highlight w:val="white"/>
        </w:rPr>
      </w:pPr>
      <w:r>
        <w:rPr>
          <w:sz w:val="24"/>
          <w:szCs w:val="24"/>
        </w:rPr>
        <w:t xml:space="preserve">minority groups? Evidence from a field experiment. </w:t>
      </w:r>
      <w:r>
        <w:rPr>
          <w:i/>
          <w:sz w:val="24"/>
          <w:szCs w:val="24"/>
        </w:rPr>
        <w:t>Oxford Bulletin of Economics and Statistics</w:t>
      </w:r>
      <w:r>
        <w:rPr>
          <w:sz w:val="24"/>
          <w:szCs w:val="24"/>
        </w:rPr>
        <w:t xml:space="preserve">, </w:t>
      </w:r>
      <w:r>
        <w:rPr>
          <w:i/>
          <w:sz w:val="24"/>
          <w:szCs w:val="24"/>
        </w:rPr>
        <w:t>74</w:t>
      </w:r>
      <w:r>
        <w:rPr>
          <w:sz w:val="24"/>
          <w:szCs w:val="24"/>
        </w:rPr>
        <w:t>(4), 547-573. doi:</w:t>
      </w:r>
      <w:r>
        <w:rPr>
          <w:sz w:val="24"/>
          <w:szCs w:val="24"/>
          <w:highlight w:val="white"/>
        </w:rPr>
        <w:t>10.1111/j.1468-0084.2011.00664.x</w:t>
      </w:r>
    </w:p>
    <w:p w14:paraId="3181B531" w14:textId="77777777" w:rsidR="00B05D78" w:rsidRDefault="00B05D78" w:rsidP="00CC70EF">
      <w:pPr>
        <w:spacing w:line="240" w:lineRule="auto"/>
        <w:rPr>
          <w:sz w:val="24"/>
          <w:szCs w:val="24"/>
          <w:highlight w:val="white"/>
        </w:rPr>
      </w:pPr>
    </w:p>
    <w:p w14:paraId="5810F76F" w14:textId="77777777" w:rsidR="00B05D78" w:rsidRDefault="00B0694D" w:rsidP="00CC70EF">
      <w:pPr>
        <w:spacing w:line="240" w:lineRule="auto"/>
        <w:rPr>
          <w:sz w:val="24"/>
          <w:szCs w:val="24"/>
        </w:rPr>
      </w:pPr>
      <w:proofErr w:type="spellStart"/>
      <w:r>
        <w:rPr>
          <w:sz w:val="24"/>
          <w:szCs w:val="24"/>
        </w:rPr>
        <w:t>Carr</w:t>
      </w:r>
      <w:proofErr w:type="spellEnd"/>
      <w:r>
        <w:rPr>
          <w:sz w:val="24"/>
          <w:szCs w:val="24"/>
        </w:rPr>
        <w:t>, T., Sedgwick, J. R., Roberts, R., &amp; Groot, G. (2020). The sharing circle method:</w:t>
      </w:r>
    </w:p>
    <w:p w14:paraId="1DF146FA" w14:textId="77777777" w:rsidR="00B05D78" w:rsidRDefault="00B0694D" w:rsidP="00CC70EF">
      <w:pPr>
        <w:spacing w:line="240" w:lineRule="auto"/>
        <w:ind w:firstLine="720"/>
      </w:pPr>
      <w:r>
        <w:rPr>
          <w:sz w:val="24"/>
          <w:szCs w:val="24"/>
        </w:rPr>
        <w:t xml:space="preserve">Understanding Indigenous cancer stories. SAGE publications Ltd. </w:t>
      </w:r>
      <w:hyperlink r:id="rId8">
        <w:r>
          <w:rPr>
            <w:color w:val="1155CC"/>
            <w:sz w:val="24"/>
            <w:szCs w:val="24"/>
            <w:u w:val="single"/>
          </w:rPr>
          <w:t>https://method</w:t>
        </w:r>
      </w:hyperlink>
    </w:p>
    <w:p w14:paraId="4C3C9CA4" w14:textId="77777777" w:rsidR="00B05D78" w:rsidRDefault="00A123AB" w:rsidP="00CC70EF">
      <w:pPr>
        <w:spacing w:line="240" w:lineRule="auto"/>
        <w:ind w:firstLine="720"/>
      </w:pPr>
      <w:hyperlink r:id="rId9">
        <w:r w:rsidR="00B0694D">
          <w:rPr>
            <w:color w:val="1155CC"/>
            <w:sz w:val="24"/>
            <w:szCs w:val="24"/>
            <w:u w:val="single"/>
          </w:rPr>
          <w:t>s-sagepub-com.ezproxy.library.ubc.ca/case/the-sharing-circle-method-understa</w:t>
        </w:r>
      </w:hyperlink>
    </w:p>
    <w:p w14:paraId="4C5225C8" w14:textId="77777777" w:rsidR="00B05D78" w:rsidRDefault="00A123AB" w:rsidP="00CC70EF">
      <w:pPr>
        <w:spacing w:line="240" w:lineRule="auto"/>
        <w:ind w:firstLine="720"/>
        <w:rPr>
          <w:sz w:val="26"/>
          <w:szCs w:val="26"/>
          <w:highlight w:val="white"/>
        </w:rPr>
      </w:pPr>
      <w:hyperlink r:id="rId10">
        <w:proofErr w:type="spellStart"/>
        <w:r w:rsidR="00B0694D">
          <w:rPr>
            <w:color w:val="1155CC"/>
            <w:sz w:val="24"/>
            <w:szCs w:val="24"/>
            <w:u w:val="single"/>
          </w:rPr>
          <w:t>nding</w:t>
        </w:r>
        <w:proofErr w:type="spellEnd"/>
        <w:r w:rsidR="00B0694D">
          <w:rPr>
            <w:color w:val="1155CC"/>
            <w:sz w:val="24"/>
            <w:szCs w:val="24"/>
            <w:u w:val="single"/>
          </w:rPr>
          <w:t>-indigenous-cancer-stories</w:t>
        </w:r>
      </w:hyperlink>
      <w:r w:rsidR="00B0694D">
        <w:rPr>
          <w:sz w:val="24"/>
          <w:szCs w:val="24"/>
        </w:rPr>
        <w:t xml:space="preserve"> </w:t>
      </w:r>
    </w:p>
    <w:p w14:paraId="06803A35" w14:textId="77777777" w:rsidR="00B05D78" w:rsidRDefault="00B05D78" w:rsidP="00CC70EF">
      <w:pPr>
        <w:spacing w:line="240" w:lineRule="auto"/>
        <w:rPr>
          <w:sz w:val="24"/>
          <w:szCs w:val="24"/>
          <w:highlight w:val="white"/>
        </w:rPr>
      </w:pPr>
    </w:p>
    <w:p w14:paraId="0045C0D9" w14:textId="77777777" w:rsidR="00B05D78" w:rsidRDefault="00B0694D" w:rsidP="00CC70EF">
      <w:pPr>
        <w:spacing w:line="240" w:lineRule="auto"/>
        <w:rPr>
          <w:sz w:val="24"/>
          <w:szCs w:val="24"/>
          <w:highlight w:val="white"/>
        </w:rPr>
      </w:pPr>
      <w:r>
        <w:rPr>
          <w:sz w:val="24"/>
          <w:szCs w:val="24"/>
          <w:highlight w:val="white"/>
        </w:rPr>
        <w:t>Chin-Yee, M., &amp; Chin-Yee, B. H. (2015). Nutrition North Canada: failure and facade</w:t>
      </w:r>
    </w:p>
    <w:p w14:paraId="0F040426" w14:textId="77777777" w:rsidR="00B05D78" w:rsidRDefault="00B0694D" w:rsidP="00CC70EF">
      <w:pPr>
        <w:spacing w:line="240" w:lineRule="auto"/>
        <w:ind w:firstLine="720"/>
        <w:rPr>
          <w:sz w:val="24"/>
          <w:szCs w:val="24"/>
          <w:highlight w:val="white"/>
        </w:rPr>
      </w:pPr>
      <w:r>
        <w:rPr>
          <w:sz w:val="24"/>
          <w:szCs w:val="24"/>
          <w:highlight w:val="white"/>
        </w:rPr>
        <w:t xml:space="preserve">within the northern strategy. </w:t>
      </w:r>
      <w:r>
        <w:rPr>
          <w:i/>
          <w:sz w:val="24"/>
          <w:szCs w:val="24"/>
          <w:highlight w:val="white"/>
        </w:rPr>
        <w:t>University of Toronto Medical Journal</w:t>
      </w:r>
      <w:r>
        <w:rPr>
          <w:sz w:val="24"/>
          <w:szCs w:val="24"/>
          <w:highlight w:val="white"/>
        </w:rPr>
        <w:t xml:space="preserve">, </w:t>
      </w:r>
      <w:r>
        <w:rPr>
          <w:i/>
          <w:sz w:val="24"/>
          <w:szCs w:val="24"/>
          <w:highlight w:val="white"/>
        </w:rPr>
        <w:t>92</w:t>
      </w:r>
      <w:r>
        <w:rPr>
          <w:sz w:val="24"/>
          <w:szCs w:val="24"/>
          <w:highlight w:val="white"/>
        </w:rPr>
        <w:t>(3), 13-18.</w:t>
      </w:r>
    </w:p>
    <w:p w14:paraId="281FEBF1" w14:textId="77777777" w:rsidR="00BD35F9" w:rsidRDefault="00B0694D" w:rsidP="00CD4B98">
      <w:pPr>
        <w:spacing w:line="240" w:lineRule="auto"/>
        <w:ind w:firstLine="720"/>
        <w:rPr>
          <w:sz w:val="24"/>
          <w:szCs w:val="24"/>
          <w:highlight w:val="white"/>
        </w:rPr>
      </w:pPr>
      <w:r>
        <w:rPr>
          <w:sz w:val="24"/>
          <w:szCs w:val="24"/>
          <w:highlight w:val="white"/>
        </w:rPr>
        <w:t xml:space="preserve">Retrieved March 28, 2021, from </w:t>
      </w:r>
      <w:hyperlink r:id="rId11">
        <w:r>
          <w:rPr>
            <w:color w:val="1155CC"/>
            <w:sz w:val="24"/>
            <w:szCs w:val="24"/>
            <w:highlight w:val="white"/>
            <w:u w:val="single"/>
          </w:rPr>
          <w:t>https://utmj.org/index.php/UTMJ/article/view/215</w:t>
        </w:r>
      </w:hyperlink>
    </w:p>
    <w:p w14:paraId="6BAB3EFE" w14:textId="77777777" w:rsidR="00B05D78" w:rsidRDefault="00B0694D" w:rsidP="00CC70EF">
      <w:pPr>
        <w:spacing w:line="240" w:lineRule="auto"/>
        <w:ind w:left="720" w:hanging="720"/>
        <w:rPr>
          <w:sz w:val="24"/>
          <w:szCs w:val="24"/>
          <w:highlight w:val="white"/>
        </w:rPr>
      </w:pPr>
      <w:r>
        <w:rPr>
          <w:sz w:val="24"/>
          <w:szCs w:val="24"/>
          <w:highlight w:val="white"/>
        </w:rPr>
        <w:lastRenderedPageBreak/>
        <w:t xml:space="preserve">Coram, S. (2011). Rethinking Indigenous research approval - The perspective of a ‘stranger’. </w:t>
      </w:r>
      <w:r>
        <w:rPr>
          <w:i/>
          <w:sz w:val="24"/>
          <w:szCs w:val="24"/>
          <w:highlight w:val="white"/>
        </w:rPr>
        <w:t>Qualitative Research Journal</w:t>
      </w:r>
      <w:r>
        <w:rPr>
          <w:sz w:val="24"/>
          <w:szCs w:val="24"/>
          <w:highlight w:val="white"/>
        </w:rPr>
        <w:t xml:space="preserve">, </w:t>
      </w:r>
      <w:r>
        <w:rPr>
          <w:i/>
          <w:sz w:val="24"/>
          <w:szCs w:val="24"/>
          <w:highlight w:val="white"/>
        </w:rPr>
        <w:t>11</w:t>
      </w:r>
      <w:r>
        <w:rPr>
          <w:sz w:val="24"/>
          <w:szCs w:val="24"/>
          <w:highlight w:val="white"/>
        </w:rPr>
        <w:t xml:space="preserve">(2), 38-47. </w:t>
      </w:r>
      <w:hyperlink r:id="rId12">
        <w:r>
          <w:rPr>
            <w:color w:val="1155CC"/>
            <w:sz w:val="24"/>
            <w:szCs w:val="24"/>
            <w:highlight w:val="white"/>
            <w:u w:val="single"/>
          </w:rPr>
          <w:t>https://doi.org/10.3316 /QRJ1102038</w:t>
        </w:r>
      </w:hyperlink>
    </w:p>
    <w:p w14:paraId="239C7C67" w14:textId="77777777" w:rsidR="00B05D78" w:rsidRDefault="00B05D78" w:rsidP="00CC70EF">
      <w:pPr>
        <w:spacing w:line="240" w:lineRule="auto"/>
        <w:rPr>
          <w:sz w:val="24"/>
          <w:szCs w:val="24"/>
          <w:highlight w:val="white"/>
        </w:rPr>
      </w:pPr>
    </w:p>
    <w:p w14:paraId="455D4513" w14:textId="77777777" w:rsidR="00B05D78" w:rsidRDefault="00B0694D" w:rsidP="00CC70EF">
      <w:pPr>
        <w:spacing w:line="240" w:lineRule="auto"/>
        <w:rPr>
          <w:sz w:val="24"/>
          <w:szCs w:val="24"/>
          <w:highlight w:val="white"/>
        </w:rPr>
      </w:pPr>
      <w:r>
        <w:rPr>
          <w:sz w:val="24"/>
          <w:szCs w:val="24"/>
          <w:highlight w:val="white"/>
        </w:rPr>
        <w:t>Davison, K. M., &amp; Kaplan, B. J. (2011). Vitamin and mineral intakes in adults with mood</w:t>
      </w:r>
    </w:p>
    <w:p w14:paraId="262FB296" w14:textId="77777777" w:rsidR="00B05D78" w:rsidRDefault="00B0694D" w:rsidP="00CC70EF">
      <w:pPr>
        <w:spacing w:line="240" w:lineRule="auto"/>
        <w:ind w:firstLine="720"/>
        <w:rPr>
          <w:sz w:val="24"/>
          <w:szCs w:val="24"/>
          <w:highlight w:val="white"/>
        </w:rPr>
      </w:pPr>
      <w:r>
        <w:rPr>
          <w:sz w:val="24"/>
          <w:szCs w:val="24"/>
          <w:highlight w:val="white"/>
        </w:rPr>
        <w:t>disorders: comparisons to nutrition standards and associations with</w:t>
      </w:r>
    </w:p>
    <w:p w14:paraId="0EE2DF50" w14:textId="77777777" w:rsidR="00B05D78" w:rsidRDefault="00B0694D" w:rsidP="00CC70EF">
      <w:pPr>
        <w:spacing w:line="240" w:lineRule="auto"/>
        <w:ind w:firstLine="720"/>
        <w:rPr>
          <w:i/>
          <w:sz w:val="24"/>
          <w:szCs w:val="24"/>
        </w:rPr>
      </w:pPr>
      <w:r>
        <w:rPr>
          <w:sz w:val="24"/>
          <w:szCs w:val="24"/>
          <w:highlight w:val="white"/>
        </w:rPr>
        <w:t xml:space="preserve">sociodemographic and clinical variables. </w:t>
      </w:r>
      <w:r>
        <w:rPr>
          <w:i/>
          <w:sz w:val="24"/>
          <w:szCs w:val="24"/>
        </w:rPr>
        <w:t>Journal of the American College of</w:t>
      </w:r>
    </w:p>
    <w:p w14:paraId="309DCA18" w14:textId="77777777" w:rsidR="00B05D78" w:rsidRDefault="00B0694D" w:rsidP="00CC70EF">
      <w:pPr>
        <w:spacing w:line="240" w:lineRule="auto"/>
        <w:ind w:firstLine="720"/>
        <w:rPr>
          <w:sz w:val="24"/>
          <w:szCs w:val="24"/>
          <w:highlight w:val="white"/>
        </w:rPr>
      </w:pPr>
      <w:r>
        <w:rPr>
          <w:i/>
          <w:sz w:val="24"/>
          <w:szCs w:val="24"/>
        </w:rPr>
        <w:t>Nutrition</w:t>
      </w:r>
      <w:r>
        <w:rPr>
          <w:sz w:val="24"/>
          <w:szCs w:val="24"/>
        </w:rPr>
        <w:t xml:space="preserve">, </w:t>
      </w:r>
      <w:r>
        <w:rPr>
          <w:i/>
          <w:sz w:val="24"/>
          <w:szCs w:val="24"/>
        </w:rPr>
        <w:t>30</w:t>
      </w:r>
      <w:r>
        <w:rPr>
          <w:sz w:val="24"/>
          <w:szCs w:val="24"/>
        </w:rPr>
        <w:t>(6), 547-558. doi:</w:t>
      </w:r>
      <w:r>
        <w:rPr>
          <w:sz w:val="24"/>
          <w:szCs w:val="24"/>
          <w:highlight w:val="white"/>
        </w:rPr>
        <w:t>10.1080/07315724.2011.10720001</w:t>
      </w:r>
    </w:p>
    <w:p w14:paraId="305EBFE1" w14:textId="77777777" w:rsidR="00B05D78" w:rsidRDefault="00B05D78" w:rsidP="00CC70EF">
      <w:pPr>
        <w:spacing w:line="240" w:lineRule="auto"/>
        <w:rPr>
          <w:sz w:val="24"/>
          <w:szCs w:val="24"/>
          <w:highlight w:val="white"/>
        </w:rPr>
      </w:pPr>
    </w:p>
    <w:p w14:paraId="3DF3E751" w14:textId="77777777" w:rsidR="00B05D78" w:rsidRDefault="00B0694D" w:rsidP="00CC70EF">
      <w:pPr>
        <w:spacing w:line="240" w:lineRule="auto"/>
        <w:rPr>
          <w:sz w:val="24"/>
          <w:szCs w:val="24"/>
          <w:highlight w:val="white"/>
        </w:rPr>
      </w:pPr>
      <w:r>
        <w:rPr>
          <w:sz w:val="24"/>
          <w:szCs w:val="24"/>
          <w:highlight w:val="white"/>
        </w:rPr>
        <w:t xml:space="preserve">Davison, K. M., </w:t>
      </w:r>
      <w:proofErr w:type="spellStart"/>
      <w:r>
        <w:rPr>
          <w:sz w:val="24"/>
          <w:szCs w:val="24"/>
          <w:highlight w:val="white"/>
        </w:rPr>
        <w:t>Gondara</w:t>
      </w:r>
      <w:proofErr w:type="spellEnd"/>
      <w:r>
        <w:rPr>
          <w:sz w:val="24"/>
          <w:szCs w:val="24"/>
          <w:highlight w:val="white"/>
        </w:rPr>
        <w:t>, L., &amp; Kaplan, B. J. (2017). Food insecurity, poor diet quality,</w:t>
      </w:r>
    </w:p>
    <w:p w14:paraId="50FDDA54" w14:textId="77777777" w:rsidR="00B05D78" w:rsidRDefault="00B0694D" w:rsidP="00CC70EF">
      <w:pPr>
        <w:spacing w:line="240" w:lineRule="auto"/>
        <w:ind w:firstLine="720"/>
        <w:rPr>
          <w:sz w:val="24"/>
          <w:szCs w:val="24"/>
          <w:highlight w:val="white"/>
        </w:rPr>
      </w:pPr>
      <w:r>
        <w:rPr>
          <w:sz w:val="24"/>
          <w:szCs w:val="24"/>
          <w:highlight w:val="white"/>
        </w:rPr>
        <w:t>and suboptimal intakes of folate and iron are independently associated with</w:t>
      </w:r>
    </w:p>
    <w:p w14:paraId="35ADA26E" w14:textId="77777777" w:rsidR="00B05D78" w:rsidRDefault="00B0694D" w:rsidP="00CC70EF">
      <w:pPr>
        <w:spacing w:line="240" w:lineRule="auto"/>
        <w:ind w:left="720"/>
        <w:rPr>
          <w:sz w:val="24"/>
          <w:szCs w:val="24"/>
          <w:highlight w:val="white"/>
        </w:rPr>
      </w:pPr>
      <w:r>
        <w:rPr>
          <w:sz w:val="24"/>
          <w:szCs w:val="24"/>
          <w:highlight w:val="white"/>
        </w:rPr>
        <w:t xml:space="preserve">perceived mental health in Canadian adults. </w:t>
      </w:r>
      <w:r>
        <w:rPr>
          <w:i/>
          <w:sz w:val="24"/>
          <w:szCs w:val="24"/>
        </w:rPr>
        <w:t>Nutrients</w:t>
      </w:r>
      <w:r>
        <w:rPr>
          <w:sz w:val="24"/>
          <w:szCs w:val="24"/>
        </w:rPr>
        <w:t xml:space="preserve">, </w:t>
      </w:r>
      <w:r>
        <w:rPr>
          <w:i/>
          <w:sz w:val="24"/>
          <w:szCs w:val="24"/>
        </w:rPr>
        <w:t>9</w:t>
      </w:r>
      <w:r>
        <w:rPr>
          <w:sz w:val="24"/>
          <w:szCs w:val="24"/>
        </w:rPr>
        <w:t>(3), 274. doi:</w:t>
      </w:r>
      <w:r>
        <w:rPr>
          <w:sz w:val="24"/>
          <w:szCs w:val="24"/>
          <w:highlight w:val="white"/>
        </w:rPr>
        <w:t>10.3390/nu9030274</w:t>
      </w:r>
    </w:p>
    <w:p w14:paraId="613D2E99" w14:textId="77777777" w:rsidR="00B05D78" w:rsidRDefault="00B05D78" w:rsidP="00CC70EF">
      <w:pPr>
        <w:spacing w:line="240" w:lineRule="auto"/>
        <w:ind w:left="720"/>
        <w:rPr>
          <w:sz w:val="24"/>
          <w:szCs w:val="24"/>
          <w:highlight w:val="white"/>
        </w:rPr>
      </w:pPr>
    </w:p>
    <w:p w14:paraId="03319F38" w14:textId="77777777" w:rsidR="00B05D78" w:rsidRDefault="00B0694D" w:rsidP="00CC70EF">
      <w:pPr>
        <w:spacing w:line="240" w:lineRule="auto"/>
        <w:rPr>
          <w:sz w:val="24"/>
          <w:szCs w:val="24"/>
        </w:rPr>
      </w:pPr>
      <w:r>
        <w:rPr>
          <w:sz w:val="24"/>
          <w:szCs w:val="24"/>
        </w:rPr>
        <w:t xml:space="preserve">Davy, D. (2016). Australia’s efforts to improve food security for Aboriginal and Torres </w:t>
      </w:r>
    </w:p>
    <w:p w14:paraId="21B5CF95" w14:textId="77777777" w:rsidR="00B05D78" w:rsidRDefault="00B0694D" w:rsidP="00CC70EF">
      <w:pPr>
        <w:spacing w:line="240" w:lineRule="auto"/>
        <w:ind w:firstLine="720"/>
        <w:rPr>
          <w:sz w:val="24"/>
          <w:szCs w:val="24"/>
        </w:rPr>
      </w:pPr>
      <w:r>
        <w:rPr>
          <w:sz w:val="24"/>
          <w:szCs w:val="24"/>
        </w:rPr>
        <w:t>Strait Islander peoples. Health and Human Rights, 18(2), 209-218.</w:t>
      </w:r>
    </w:p>
    <w:p w14:paraId="56E94F5C" w14:textId="77777777" w:rsidR="00B05D78" w:rsidRDefault="00A123AB" w:rsidP="00CC70EF">
      <w:pPr>
        <w:spacing w:line="240" w:lineRule="auto"/>
        <w:ind w:firstLine="720"/>
        <w:rPr>
          <w:sz w:val="24"/>
          <w:szCs w:val="24"/>
        </w:rPr>
      </w:pPr>
      <w:hyperlink r:id="rId13">
        <w:r w:rsidR="00B0694D">
          <w:rPr>
            <w:color w:val="1155CC"/>
            <w:sz w:val="24"/>
            <w:szCs w:val="24"/>
            <w:u w:val="single"/>
          </w:rPr>
          <w:t>https://www.ncbi.nlm.nih.gov/pmc/articles/PMC5394999/pdf/hhr-18-209.pdf</w:t>
        </w:r>
      </w:hyperlink>
    </w:p>
    <w:p w14:paraId="4F967129" w14:textId="77777777" w:rsidR="00B05D78" w:rsidRDefault="00B05D78" w:rsidP="00CC70EF">
      <w:pPr>
        <w:spacing w:line="240" w:lineRule="auto"/>
        <w:ind w:left="720"/>
        <w:rPr>
          <w:sz w:val="24"/>
          <w:szCs w:val="24"/>
          <w:highlight w:val="white"/>
        </w:rPr>
      </w:pPr>
    </w:p>
    <w:p w14:paraId="59800B95" w14:textId="77777777" w:rsidR="00B05D78" w:rsidRDefault="00B0694D" w:rsidP="00CC70EF">
      <w:pPr>
        <w:spacing w:line="240" w:lineRule="auto"/>
        <w:ind w:left="720" w:hanging="720"/>
        <w:rPr>
          <w:sz w:val="24"/>
          <w:szCs w:val="24"/>
        </w:rPr>
      </w:pPr>
      <w:r>
        <w:rPr>
          <w:sz w:val="24"/>
          <w:szCs w:val="24"/>
        </w:rPr>
        <w:t>Dietitians of Canada. (2016). Addressing Household Food Insecurity in Canada -</w:t>
      </w:r>
    </w:p>
    <w:p w14:paraId="20493D3B" w14:textId="77777777" w:rsidR="00B05D78" w:rsidRDefault="00B0694D" w:rsidP="00CC70EF">
      <w:pPr>
        <w:spacing w:line="240" w:lineRule="auto"/>
        <w:ind w:left="1440" w:hanging="720"/>
        <w:rPr>
          <w:sz w:val="24"/>
          <w:szCs w:val="24"/>
        </w:rPr>
      </w:pPr>
      <w:r>
        <w:rPr>
          <w:sz w:val="24"/>
          <w:szCs w:val="24"/>
        </w:rPr>
        <w:t>Position Statement and Recommendations from Dietitians of Canada. Canadian</w:t>
      </w:r>
    </w:p>
    <w:p w14:paraId="34BEBBB4" w14:textId="77777777" w:rsidR="00B05D78" w:rsidRPr="0004647D" w:rsidRDefault="00B0694D" w:rsidP="0004647D">
      <w:pPr>
        <w:spacing w:line="240" w:lineRule="auto"/>
        <w:ind w:left="1440" w:hanging="720"/>
        <w:rPr>
          <w:sz w:val="24"/>
          <w:szCs w:val="24"/>
        </w:rPr>
      </w:pPr>
      <w:r>
        <w:rPr>
          <w:sz w:val="24"/>
          <w:szCs w:val="24"/>
        </w:rPr>
        <w:t>Journal of Dietetic Practice and Research, 77(3),159.</w:t>
      </w:r>
      <w:r w:rsidR="0004647D">
        <w:rPr>
          <w:sz w:val="24"/>
          <w:szCs w:val="24"/>
        </w:rPr>
        <w:t xml:space="preserve"> </w:t>
      </w:r>
      <w:r>
        <w:rPr>
          <w:sz w:val="24"/>
          <w:szCs w:val="24"/>
        </w:rPr>
        <w:t>doi:10.3148/cjdpr-2016019</w:t>
      </w:r>
    </w:p>
    <w:p w14:paraId="1433B5DF" w14:textId="77777777" w:rsidR="00B05D78" w:rsidRDefault="00B05D78" w:rsidP="00CC70EF">
      <w:pPr>
        <w:spacing w:line="240" w:lineRule="auto"/>
        <w:ind w:firstLine="720"/>
        <w:rPr>
          <w:sz w:val="24"/>
          <w:szCs w:val="24"/>
          <w:highlight w:val="white"/>
        </w:rPr>
      </w:pPr>
    </w:p>
    <w:p w14:paraId="1ED4D872" w14:textId="77777777" w:rsidR="00B05D78" w:rsidRDefault="00B0694D" w:rsidP="00CC70EF">
      <w:pPr>
        <w:spacing w:line="240" w:lineRule="auto"/>
        <w:rPr>
          <w:i/>
          <w:sz w:val="24"/>
          <w:szCs w:val="24"/>
          <w:highlight w:val="white"/>
        </w:rPr>
      </w:pPr>
      <w:r>
        <w:rPr>
          <w:sz w:val="24"/>
          <w:szCs w:val="24"/>
          <w:highlight w:val="white"/>
        </w:rPr>
        <w:t xml:space="preserve">Duarte, M. E. (2017). </w:t>
      </w:r>
      <w:r>
        <w:rPr>
          <w:i/>
          <w:sz w:val="24"/>
          <w:szCs w:val="24"/>
          <w:highlight w:val="white"/>
        </w:rPr>
        <w:t>Network Sovereignty: Building the Internet Across Indian Country.</w:t>
      </w:r>
    </w:p>
    <w:p w14:paraId="66805C3D" w14:textId="77777777" w:rsidR="00B05D78" w:rsidRDefault="00B0694D" w:rsidP="00CC70EF">
      <w:pPr>
        <w:spacing w:line="240" w:lineRule="auto"/>
        <w:ind w:left="720"/>
        <w:rPr>
          <w:sz w:val="24"/>
          <w:szCs w:val="24"/>
          <w:highlight w:val="white"/>
        </w:rPr>
      </w:pPr>
      <w:r>
        <w:rPr>
          <w:sz w:val="24"/>
          <w:szCs w:val="24"/>
          <w:highlight w:val="white"/>
        </w:rPr>
        <w:t xml:space="preserve">University of Washington. </w:t>
      </w:r>
      <w:hyperlink r:id="rId14">
        <w:r>
          <w:rPr>
            <w:color w:val="1155CC"/>
            <w:sz w:val="24"/>
            <w:szCs w:val="24"/>
            <w:highlight w:val="white"/>
            <w:u w:val="single"/>
          </w:rPr>
          <w:t>https://www.jstor.org/stable/j.ctvcwn92r</w:t>
        </w:r>
      </w:hyperlink>
      <w:r>
        <w:rPr>
          <w:sz w:val="24"/>
          <w:szCs w:val="24"/>
          <w:highlight w:val="white"/>
        </w:rPr>
        <w:t xml:space="preserve"> </w:t>
      </w:r>
      <w:hyperlink r:id="rId15">
        <w:r>
          <w:rPr>
            <w:color w:val="1155CC"/>
            <w:sz w:val="24"/>
            <w:szCs w:val="24"/>
            <w:highlight w:val="white"/>
            <w:u w:val="single"/>
          </w:rPr>
          <w:t xml:space="preserve"> </w:t>
        </w:r>
      </w:hyperlink>
    </w:p>
    <w:p w14:paraId="655F6D4B" w14:textId="77777777" w:rsidR="00B05D78" w:rsidRDefault="00B05D78" w:rsidP="00CC70EF">
      <w:pPr>
        <w:spacing w:line="240" w:lineRule="auto"/>
        <w:ind w:left="720"/>
        <w:rPr>
          <w:sz w:val="24"/>
          <w:szCs w:val="24"/>
          <w:highlight w:val="white"/>
        </w:rPr>
      </w:pPr>
    </w:p>
    <w:p w14:paraId="18F0CDFC" w14:textId="77777777" w:rsidR="00B05D78" w:rsidRDefault="00B0694D" w:rsidP="00CC70EF">
      <w:pPr>
        <w:spacing w:line="240" w:lineRule="auto"/>
        <w:rPr>
          <w:sz w:val="24"/>
          <w:szCs w:val="24"/>
          <w:highlight w:val="white"/>
        </w:rPr>
      </w:pPr>
      <w:r>
        <w:rPr>
          <w:sz w:val="24"/>
          <w:szCs w:val="24"/>
          <w:highlight w:val="white"/>
        </w:rPr>
        <w:t xml:space="preserve">Elliot, B., </w:t>
      </w:r>
      <w:proofErr w:type="spellStart"/>
      <w:r>
        <w:rPr>
          <w:sz w:val="24"/>
          <w:szCs w:val="24"/>
          <w:highlight w:val="white"/>
        </w:rPr>
        <w:t>Jayatilaka</w:t>
      </w:r>
      <w:proofErr w:type="spellEnd"/>
      <w:r>
        <w:rPr>
          <w:sz w:val="24"/>
          <w:szCs w:val="24"/>
          <w:highlight w:val="white"/>
        </w:rPr>
        <w:t>, D., Brown, C., Varley, L., &amp; Corbett, K. K. (2012). We are not being</w:t>
      </w:r>
    </w:p>
    <w:p w14:paraId="691AFA10" w14:textId="77777777" w:rsidR="00B05D78" w:rsidRDefault="00B0694D" w:rsidP="00CC70EF">
      <w:pPr>
        <w:spacing w:line="240" w:lineRule="auto"/>
        <w:ind w:firstLine="720"/>
        <w:rPr>
          <w:sz w:val="24"/>
          <w:szCs w:val="24"/>
          <w:highlight w:val="white"/>
        </w:rPr>
      </w:pPr>
      <w:r>
        <w:rPr>
          <w:sz w:val="24"/>
          <w:szCs w:val="24"/>
          <w:highlight w:val="white"/>
        </w:rPr>
        <w:t>heard: Aboriginal perspectives on traditional foods access and food security.</w:t>
      </w:r>
    </w:p>
    <w:p w14:paraId="4AF81686" w14:textId="77777777" w:rsidR="00B05D78" w:rsidRDefault="00B0694D" w:rsidP="00CC70EF">
      <w:pPr>
        <w:spacing w:line="240" w:lineRule="auto"/>
        <w:ind w:left="720"/>
        <w:rPr>
          <w:sz w:val="24"/>
          <w:szCs w:val="24"/>
          <w:highlight w:val="white"/>
        </w:rPr>
      </w:pPr>
      <w:r>
        <w:rPr>
          <w:i/>
          <w:sz w:val="24"/>
          <w:szCs w:val="24"/>
          <w:highlight w:val="white"/>
        </w:rPr>
        <w:t>Journal of Environmental and Public Health</w:t>
      </w:r>
      <w:r>
        <w:rPr>
          <w:sz w:val="24"/>
          <w:szCs w:val="24"/>
          <w:highlight w:val="white"/>
        </w:rPr>
        <w:t xml:space="preserve">, </w:t>
      </w:r>
      <w:r>
        <w:rPr>
          <w:i/>
          <w:sz w:val="24"/>
          <w:szCs w:val="24"/>
          <w:highlight w:val="white"/>
        </w:rPr>
        <w:t>2012</w:t>
      </w:r>
      <w:r>
        <w:rPr>
          <w:sz w:val="24"/>
          <w:szCs w:val="24"/>
          <w:highlight w:val="white"/>
        </w:rPr>
        <w:t>, 1-9. doi:10.1155/2012/ 130945</w:t>
      </w:r>
    </w:p>
    <w:p w14:paraId="2A84DCEF" w14:textId="77777777" w:rsidR="00B05D78" w:rsidRDefault="00B05D78" w:rsidP="00CC70EF">
      <w:pPr>
        <w:spacing w:line="240" w:lineRule="auto"/>
        <w:rPr>
          <w:sz w:val="24"/>
          <w:szCs w:val="24"/>
          <w:highlight w:val="white"/>
        </w:rPr>
      </w:pPr>
    </w:p>
    <w:p w14:paraId="461C96E3" w14:textId="77777777" w:rsidR="00B05D78" w:rsidRDefault="00B0694D" w:rsidP="00CC70EF">
      <w:pPr>
        <w:spacing w:line="240" w:lineRule="auto"/>
        <w:rPr>
          <w:sz w:val="24"/>
          <w:szCs w:val="24"/>
          <w:highlight w:val="white"/>
        </w:rPr>
      </w:pPr>
      <w:r>
        <w:rPr>
          <w:sz w:val="24"/>
          <w:szCs w:val="24"/>
          <w:highlight w:val="white"/>
        </w:rPr>
        <w:t>Gundersen, C., Engelhard, E., &amp; Hake, M. (2017). The determinants of food insecurity</w:t>
      </w:r>
    </w:p>
    <w:p w14:paraId="51D5690A" w14:textId="77777777" w:rsidR="00B05D78" w:rsidRDefault="00B0694D" w:rsidP="00CC70EF">
      <w:pPr>
        <w:spacing w:line="240" w:lineRule="auto"/>
        <w:ind w:firstLine="720"/>
        <w:rPr>
          <w:sz w:val="24"/>
          <w:szCs w:val="24"/>
          <w:highlight w:val="white"/>
        </w:rPr>
      </w:pPr>
      <w:r>
        <w:rPr>
          <w:sz w:val="24"/>
          <w:szCs w:val="24"/>
          <w:highlight w:val="white"/>
        </w:rPr>
        <w:t xml:space="preserve">among food bank clients in the United States. </w:t>
      </w:r>
      <w:r>
        <w:rPr>
          <w:i/>
          <w:sz w:val="24"/>
          <w:szCs w:val="24"/>
          <w:highlight w:val="white"/>
        </w:rPr>
        <w:t>Journal of Consumer Affairs</w:t>
      </w:r>
      <w:r>
        <w:rPr>
          <w:sz w:val="24"/>
          <w:szCs w:val="24"/>
          <w:highlight w:val="white"/>
        </w:rPr>
        <w:t xml:space="preserve">, </w:t>
      </w:r>
      <w:r>
        <w:rPr>
          <w:i/>
          <w:sz w:val="24"/>
          <w:szCs w:val="24"/>
          <w:highlight w:val="white"/>
        </w:rPr>
        <w:t>51</w:t>
      </w:r>
      <w:r>
        <w:rPr>
          <w:sz w:val="24"/>
          <w:szCs w:val="24"/>
          <w:highlight w:val="white"/>
        </w:rPr>
        <w:t>(3),</w:t>
      </w:r>
    </w:p>
    <w:p w14:paraId="032B9807" w14:textId="77777777" w:rsidR="00B05D78" w:rsidRDefault="00B0694D" w:rsidP="00CC70EF">
      <w:pPr>
        <w:spacing w:line="240" w:lineRule="auto"/>
        <w:ind w:firstLine="720"/>
        <w:rPr>
          <w:sz w:val="24"/>
          <w:szCs w:val="24"/>
          <w:highlight w:val="white"/>
        </w:rPr>
      </w:pPr>
      <w:r>
        <w:rPr>
          <w:sz w:val="24"/>
          <w:szCs w:val="24"/>
          <w:highlight w:val="white"/>
        </w:rPr>
        <w:t>501-518. doi:10.1111/joca.12157</w:t>
      </w:r>
    </w:p>
    <w:p w14:paraId="3A73ED88" w14:textId="77777777" w:rsidR="00B05D78" w:rsidRDefault="00B05D78" w:rsidP="00CC70EF">
      <w:pPr>
        <w:spacing w:line="240" w:lineRule="auto"/>
        <w:rPr>
          <w:sz w:val="24"/>
          <w:szCs w:val="24"/>
          <w:highlight w:val="white"/>
        </w:rPr>
      </w:pPr>
    </w:p>
    <w:p w14:paraId="0C6C3B9A" w14:textId="77777777" w:rsidR="00B05D78" w:rsidRDefault="00B0694D" w:rsidP="00CC70EF">
      <w:pPr>
        <w:spacing w:line="240" w:lineRule="auto"/>
        <w:rPr>
          <w:sz w:val="24"/>
          <w:szCs w:val="24"/>
          <w:highlight w:val="white"/>
        </w:rPr>
      </w:pPr>
      <w:r>
        <w:rPr>
          <w:sz w:val="24"/>
          <w:szCs w:val="24"/>
          <w:highlight w:val="white"/>
        </w:rPr>
        <w:t xml:space="preserve">Holmes, E., Black, J. L., </w:t>
      </w:r>
      <w:proofErr w:type="spellStart"/>
      <w:r>
        <w:rPr>
          <w:sz w:val="24"/>
          <w:szCs w:val="24"/>
          <w:highlight w:val="white"/>
        </w:rPr>
        <w:t>Heckelman</w:t>
      </w:r>
      <w:proofErr w:type="spellEnd"/>
      <w:r>
        <w:rPr>
          <w:sz w:val="24"/>
          <w:szCs w:val="24"/>
          <w:highlight w:val="white"/>
        </w:rPr>
        <w:t xml:space="preserve">, A., Lear, S. A., </w:t>
      </w:r>
      <w:proofErr w:type="spellStart"/>
      <w:r>
        <w:rPr>
          <w:sz w:val="24"/>
          <w:szCs w:val="24"/>
          <w:highlight w:val="white"/>
        </w:rPr>
        <w:t>Seto</w:t>
      </w:r>
      <w:proofErr w:type="spellEnd"/>
      <w:r>
        <w:rPr>
          <w:sz w:val="24"/>
          <w:szCs w:val="24"/>
          <w:highlight w:val="white"/>
        </w:rPr>
        <w:t xml:space="preserve">, D., </w:t>
      </w:r>
      <w:proofErr w:type="spellStart"/>
      <w:r>
        <w:rPr>
          <w:sz w:val="24"/>
          <w:szCs w:val="24"/>
          <w:highlight w:val="white"/>
        </w:rPr>
        <w:t>Fowokan</w:t>
      </w:r>
      <w:proofErr w:type="spellEnd"/>
      <w:r>
        <w:rPr>
          <w:sz w:val="24"/>
          <w:szCs w:val="24"/>
          <w:highlight w:val="white"/>
        </w:rPr>
        <w:t>, A., &amp; Wittman,</w:t>
      </w:r>
    </w:p>
    <w:p w14:paraId="2F37281C" w14:textId="77777777" w:rsidR="00B05D78" w:rsidRDefault="00B0694D" w:rsidP="00CC70EF">
      <w:pPr>
        <w:spacing w:line="240" w:lineRule="auto"/>
        <w:ind w:firstLine="720"/>
        <w:rPr>
          <w:sz w:val="24"/>
          <w:szCs w:val="24"/>
          <w:highlight w:val="white"/>
        </w:rPr>
      </w:pPr>
      <w:r>
        <w:rPr>
          <w:sz w:val="24"/>
          <w:szCs w:val="24"/>
          <w:highlight w:val="white"/>
        </w:rPr>
        <w:t>H. (2018). Nothing is going to change three months from now: A mixed</w:t>
      </w:r>
    </w:p>
    <w:p w14:paraId="720A979B" w14:textId="77777777" w:rsidR="00B05D78" w:rsidRDefault="00B0694D" w:rsidP="00CC70EF">
      <w:pPr>
        <w:spacing w:line="240" w:lineRule="auto"/>
        <w:ind w:firstLine="720"/>
        <w:rPr>
          <w:i/>
          <w:sz w:val="24"/>
          <w:szCs w:val="24"/>
          <w:highlight w:val="white"/>
        </w:rPr>
      </w:pPr>
      <w:r>
        <w:rPr>
          <w:sz w:val="24"/>
          <w:szCs w:val="24"/>
          <w:highlight w:val="white"/>
        </w:rPr>
        <w:t xml:space="preserve">methods characterization of food bank use in Greater Vancouver. </w:t>
      </w:r>
      <w:r>
        <w:rPr>
          <w:i/>
          <w:sz w:val="24"/>
          <w:szCs w:val="24"/>
          <w:highlight w:val="white"/>
        </w:rPr>
        <w:t>Social Science</w:t>
      </w:r>
    </w:p>
    <w:p w14:paraId="1B67028E" w14:textId="77777777" w:rsidR="00B05D78" w:rsidRDefault="00B0694D" w:rsidP="00CC70EF">
      <w:pPr>
        <w:spacing w:line="240" w:lineRule="auto"/>
        <w:ind w:firstLine="720"/>
        <w:rPr>
          <w:sz w:val="24"/>
          <w:szCs w:val="24"/>
          <w:highlight w:val="white"/>
        </w:rPr>
      </w:pPr>
      <w:r>
        <w:rPr>
          <w:i/>
          <w:sz w:val="24"/>
          <w:szCs w:val="24"/>
          <w:highlight w:val="white"/>
        </w:rPr>
        <w:t>and Medicine, 200</w:t>
      </w:r>
      <w:r>
        <w:rPr>
          <w:sz w:val="24"/>
          <w:szCs w:val="24"/>
          <w:highlight w:val="white"/>
        </w:rPr>
        <w:t xml:space="preserve">, 129-136. </w:t>
      </w:r>
      <w:hyperlink r:id="rId16">
        <w:r>
          <w:rPr>
            <w:color w:val="1155CC"/>
            <w:sz w:val="24"/>
            <w:szCs w:val="24"/>
            <w:highlight w:val="white"/>
            <w:u w:val="single"/>
          </w:rPr>
          <w:t>https://doi.org/10.1016/j.socscimed.2018.01.029</w:t>
        </w:r>
      </w:hyperlink>
      <w:r>
        <w:rPr>
          <w:sz w:val="24"/>
          <w:szCs w:val="24"/>
          <w:highlight w:val="white"/>
        </w:rPr>
        <w:br/>
      </w:r>
    </w:p>
    <w:p w14:paraId="59D9D521" w14:textId="77777777" w:rsidR="00B05D78" w:rsidRDefault="00B0694D" w:rsidP="00CC70EF">
      <w:pPr>
        <w:spacing w:line="240" w:lineRule="auto"/>
        <w:rPr>
          <w:sz w:val="24"/>
          <w:szCs w:val="24"/>
          <w:highlight w:val="white"/>
        </w:rPr>
      </w:pPr>
      <w:r>
        <w:rPr>
          <w:sz w:val="24"/>
          <w:szCs w:val="24"/>
          <w:highlight w:val="white"/>
        </w:rPr>
        <w:t xml:space="preserve">Holmes, E., </w:t>
      </w:r>
      <w:proofErr w:type="spellStart"/>
      <w:r>
        <w:rPr>
          <w:sz w:val="24"/>
          <w:szCs w:val="24"/>
          <w:highlight w:val="white"/>
        </w:rPr>
        <w:t>Fowokan</w:t>
      </w:r>
      <w:proofErr w:type="spellEnd"/>
      <w:r>
        <w:rPr>
          <w:sz w:val="24"/>
          <w:szCs w:val="24"/>
          <w:highlight w:val="white"/>
        </w:rPr>
        <w:t xml:space="preserve">, A., </w:t>
      </w:r>
      <w:proofErr w:type="spellStart"/>
      <w:r>
        <w:rPr>
          <w:sz w:val="24"/>
          <w:szCs w:val="24"/>
          <w:highlight w:val="white"/>
        </w:rPr>
        <w:t>Seto</w:t>
      </w:r>
      <w:proofErr w:type="spellEnd"/>
      <w:r>
        <w:rPr>
          <w:sz w:val="24"/>
          <w:szCs w:val="24"/>
          <w:highlight w:val="white"/>
        </w:rPr>
        <w:t xml:space="preserve">, D., Lear, S. A., &amp; Black, J. L. (2019). Examining food </w:t>
      </w:r>
    </w:p>
    <w:p w14:paraId="14D24123" w14:textId="77777777" w:rsidR="00B05D78" w:rsidRDefault="00B0694D" w:rsidP="00CD4B98">
      <w:pPr>
        <w:spacing w:line="240" w:lineRule="auto"/>
        <w:ind w:left="720"/>
        <w:rPr>
          <w:sz w:val="24"/>
          <w:szCs w:val="24"/>
          <w:highlight w:val="white"/>
        </w:rPr>
      </w:pPr>
      <w:r>
        <w:rPr>
          <w:sz w:val="24"/>
          <w:szCs w:val="24"/>
          <w:highlight w:val="white"/>
        </w:rPr>
        <w:t xml:space="preserve">insecurity among food bank members in Greater Vancouver. </w:t>
      </w:r>
      <w:r>
        <w:rPr>
          <w:i/>
          <w:sz w:val="24"/>
          <w:szCs w:val="24"/>
          <w:highlight w:val="white"/>
        </w:rPr>
        <w:t>Journal of Hunger &amp; Environmental Nutrition</w:t>
      </w:r>
      <w:r>
        <w:rPr>
          <w:sz w:val="24"/>
          <w:szCs w:val="24"/>
          <w:highlight w:val="white"/>
        </w:rPr>
        <w:t xml:space="preserve">, </w:t>
      </w:r>
      <w:r>
        <w:rPr>
          <w:i/>
          <w:sz w:val="24"/>
          <w:szCs w:val="24"/>
          <w:highlight w:val="white"/>
        </w:rPr>
        <w:t>14</w:t>
      </w:r>
      <w:r>
        <w:rPr>
          <w:sz w:val="24"/>
          <w:szCs w:val="24"/>
          <w:highlight w:val="white"/>
        </w:rPr>
        <w:t>(1-2), 141-154. doi:10.1080/19320248.2018.1465001</w:t>
      </w:r>
    </w:p>
    <w:p w14:paraId="61198FA3" w14:textId="77777777" w:rsidR="00B05D78" w:rsidRDefault="00B05D78" w:rsidP="00CC70EF">
      <w:pPr>
        <w:spacing w:line="240" w:lineRule="auto"/>
        <w:rPr>
          <w:sz w:val="24"/>
          <w:szCs w:val="24"/>
          <w:highlight w:val="white"/>
        </w:rPr>
      </w:pPr>
    </w:p>
    <w:p w14:paraId="2CA85BB3" w14:textId="77777777" w:rsidR="00B05D78" w:rsidRDefault="00B0694D" w:rsidP="00CC70EF">
      <w:pPr>
        <w:spacing w:line="240" w:lineRule="auto"/>
        <w:rPr>
          <w:sz w:val="24"/>
          <w:szCs w:val="24"/>
          <w:highlight w:val="white"/>
        </w:rPr>
      </w:pPr>
      <w:r>
        <w:rPr>
          <w:sz w:val="24"/>
          <w:szCs w:val="24"/>
          <w:highlight w:val="white"/>
        </w:rPr>
        <w:t xml:space="preserve">Hu, M., Daley, A., &amp; Warman, C. (2019). Literacy, Numeracy, Technology Skill, and </w:t>
      </w:r>
    </w:p>
    <w:p w14:paraId="51D2A2B1" w14:textId="77777777" w:rsidR="00B05D78" w:rsidRDefault="00B0694D" w:rsidP="00CD4B98">
      <w:pPr>
        <w:spacing w:line="240" w:lineRule="auto"/>
        <w:ind w:left="720"/>
        <w:rPr>
          <w:sz w:val="24"/>
          <w:szCs w:val="24"/>
          <w:highlight w:val="white"/>
        </w:rPr>
      </w:pPr>
      <w:proofErr w:type="spellStart"/>
      <w:r>
        <w:rPr>
          <w:sz w:val="24"/>
          <w:szCs w:val="24"/>
          <w:highlight w:val="white"/>
        </w:rPr>
        <w:t>Labour</w:t>
      </w:r>
      <w:proofErr w:type="spellEnd"/>
      <w:r>
        <w:rPr>
          <w:sz w:val="24"/>
          <w:szCs w:val="24"/>
          <w:highlight w:val="white"/>
        </w:rPr>
        <w:t xml:space="preserve"> Market Outcomes among Indigenous Peoples in Canada. </w:t>
      </w:r>
      <w:r>
        <w:rPr>
          <w:i/>
          <w:sz w:val="24"/>
          <w:szCs w:val="24"/>
          <w:highlight w:val="white"/>
        </w:rPr>
        <w:t>Canadian Public Policy</w:t>
      </w:r>
      <w:r>
        <w:rPr>
          <w:sz w:val="24"/>
          <w:szCs w:val="24"/>
          <w:highlight w:val="white"/>
        </w:rPr>
        <w:t xml:space="preserve">, </w:t>
      </w:r>
      <w:r>
        <w:rPr>
          <w:i/>
          <w:sz w:val="24"/>
          <w:szCs w:val="24"/>
          <w:highlight w:val="white"/>
        </w:rPr>
        <w:t>45</w:t>
      </w:r>
      <w:r>
        <w:rPr>
          <w:sz w:val="24"/>
          <w:szCs w:val="24"/>
          <w:highlight w:val="white"/>
        </w:rPr>
        <w:t xml:space="preserve">(1), 48-73. </w:t>
      </w:r>
      <w:hyperlink r:id="rId17">
        <w:r>
          <w:rPr>
            <w:color w:val="1155CC"/>
            <w:sz w:val="24"/>
            <w:szCs w:val="24"/>
            <w:highlight w:val="white"/>
            <w:u w:val="single"/>
          </w:rPr>
          <w:t>https://www.muse.jhu.edu/article/720868</w:t>
        </w:r>
      </w:hyperlink>
      <w:r>
        <w:rPr>
          <w:sz w:val="24"/>
          <w:szCs w:val="24"/>
          <w:highlight w:val="white"/>
        </w:rPr>
        <w:t>.</w:t>
      </w:r>
    </w:p>
    <w:p w14:paraId="18B830C7" w14:textId="77777777" w:rsidR="00B05D78" w:rsidRDefault="00B0694D" w:rsidP="00CC70EF">
      <w:pPr>
        <w:spacing w:line="240" w:lineRule="auto"/>
        <w:rPr>
          <w:sz w:val="24"/>
          <w:szCs w:val="24"/>
          <w:highlight w:val="white"/>
        </w:rPr>
      </w:pPr>
      <w:r>
        <w:rPr>
          <w:sz w:val="24"/>
          <w:szCs w:val="24"/>
          <w:highlight w:val="white"/>
        </w:rPr>
        <w:lastRenderedPageBreak/>
        <w:t xml:space="preserve">Hughes, L., &amp; Davidson, G. R. (2010). Effects of non-indigenous Australian human </w:t>
      </w:r>
    </w:p>
    <w:p w14:paraId="6D33F8EA" w14:textId="77777777" w:rsidR="00B05D78" w:rsidRDefault="00B0694D" w:rsidP="00CC70EF">
      <w:pPr>
        <w:spacing w:line="240" w:lineRule="auto"/>
        <w:ind w:left="720"/>
        <w:rPr>
          <w:sz w:val="24"/>
          <w:szCs w:val="24"/>
        </w:rPr>
      </w:pPr>
      <w:r>
        <w:rPr>
          <w:sz w:val="24"/>
          <w:szCs w:val="24"/>
          <w:highlight w:val="white"/>
        </w:rPr>
        <w:t xml:space="preserve">resource managers’ gender and attitudes and applicants’ ethnicity and gender on resumé evaluations. </w:t>
      </w:r>
      <w:r>
        <w:rPr>
          <w:i/>
          <w:sz w:val="24"/>
          <w:szCs w:val="24"/>
          <w:highlight w:val="white"/>
        </w:rPr>
        <w:t>Journal of Pacific Rim Psychology</w:t>
      </w:r>
      <w:r>
        <w:rPr>
          <w:sz w:val="24"/>
          <w:szCs w:val="24"/>
          <w:highlight w:val="white"/>
        </w:rPr>
        <w:t>, 5(1), 1–10.</w:t>
      </w:r>
      <w:r w:rsidR="009C4349">
        <w:rPr>
          <w:sz w:val="24"/>
          <w:szCs w:val="24"/>
        </w:rPr>
        <w:t xml:space="preserve"> </w:t>
      </w:r>
      <w:r>
        <w:rPr>
          <w:rFonts w:ascii="Roboto" w:eastAsia="Roboto" w:hAnsi="Roboto" w:cs="Roboto"/>
          <w:color w:val="181817"/>
          <w:sz w:val="24"/>
          <w:szCs w:val="24"/>
        </w:rPr>
        <w:t xml:space="preserve">doi:10.1375/prp.5.1.1 </w:t>
      </w:r>
    </w:p>
    <w:p w14:paraId="7DE112CE" w14:textId="77777777" w:rsidR="00B05D78" w:rsidRDefault="00B05D78" w:rsidP="00CC70EF">
      <w:pPr>
        <w:spacing w:line="240" w:lineRule="auto"/>
        <w:rPr>
          <w:sz w:val="24"/>
          <w:szCs w:val="24"/>
          <w:highlight w:val="white"/>
        </w:rPr>
      </w:pPr>
    </w:p>
    <w:p w14:paraId="3E9B54F5" w14:textId="77777777" w:rsidR="00B05D78" w:rsidRDefault="00B0694D" w:rsidP="00CC70EF">
      <w:pPr>
        <w:spacing w:line="240" w:lineRule="auto"/>
        <w:ind w:left="720" w:hanging="720"/>
        <w:rPr>
          <w:sz w:val="24"/>
          <w:szCs w:val="24"/>
          <w:highlight w:val="white"/>
        </w:rPr>
      </w:pPr>
      <w:r>
        <w:rPr>
          <w:sz w:val="24"/>
          <w:szCs w:val="24"/>
        </w:rPr>
        <w:t xml:space="preserve">Ionescu, A. M. (2012). How does education affect </w:t>
      </w:r>
      <w:proofErr w:type="spellStart"/>
      <w:r>
        <w:rPr>
          <w:sz w:val="24"/>
          <w:szCs w:val="24"/>
        </w:rPr>
        <w:t>labour</w:t>
      </w:r>
      <w:proofErr w:type="spellEnd"/>
      <w:r>
        <w:rPr>
          <w:sz w:val="24"/>
          <w:szCs w:val="24"/>
        </w:rPr>
        <w:t xml:space="preserve"> market outcomes? </w:t>
      </w:r>
      <w:r>
        <w:rPr>
          <w:i/>
          <w:sz w:val="24"/>
          <w:szCs w:val="24"/>
        </w:rPr>
        <w:t>Review of Applied Socio-Economic Research</w:t>
      </w:r>
      <w:r>
        <w:rPr>
          <w:sz w:val="24"/>
          <w:szCs w:val="24"/>
        </w:rPr>
        <w:t xml:space="preserve">, </w:t>
      </w:r>
      <w:r>
        <w:rPr>
          <w:i/>
          <w:sz w:val="24"/>
          <w:szCs w:val="24"/>
        </w:rPr>
        <w:t>4</w:t>
      </w:r>
      <w:r>
        <w:rPr>
          <w:sz w:val="24"/>
          <w:szCs w:val="24"/>
        </w:rPr>
        <w:t xml:space="preserve">(2), 130-144. Retrieved April 24, 2021, from </w:t>
      </w:r>
      <w:hyperlink r:id="rId18">
        <w:r>
          <w:rPr>
            <w:color w:val="1155CC"/>
            <w:sz w:val="24"/>
            <w:szCs w:val="24"/>
            <w:u w:val="single"/>
          </w:rPr>
          <w:t>https://www.researchgate.net/publication/263848494_How_does_education_affect_labour_market_outcomes</w:t>
        </w:r>
      </w:hyperlink>
      <w:r>
        <w:rPr>
          <w:sz w:val="24"/>
          <w:szCs w:val="24"/>
        </w:rPr>
        <w:t xml:space="preserve"> </w:t>
      </w:r>
    </w:p>
    <w:p w14:paraId="68171909" w14:textId="77777777" w:rsidR="00B05D78" w:rsidRDefault="00B05D78" w:rsidP="00CC70EF">
      <w:pPr>
        <w:spacing w:line="240" w:lineRule="auto"/>
        <w:rPr>
          <w:sz w:val="24"/>
          <w:szCs w:val="24"/>
        </w:rPr>
      </w:pPr>
    </w:p>
    <w:p w14:paraId="59286CE6" w14:textId="77777777" w:rsidR="00B05D78" w:rsidRDefault="00B0694D" w:rsidP="00CC70EF">
      <w:pPr>
        <w:spacing w:line="240" w:lineRule="auto"/>
        <w:rPr>
          <w:sz w:val="24"/>
          <w:szCs w:val="24"/>
        </w:rPr>
      </w:pPr>
      <w:proofErr w:type="spellStart"/>
      <w:r>
        <w:rPr>
          <w:sz w:val="24"/>
          <w:szCs w:val="24"/>
        </w:rPr>
        <w:t>Iwama</w:t>
      </w:r>
      <w:proofErr w:type="spellEnd"/>
      <w:r>
        <w:rPr>
          <w:sz w:val="24"/>
          <w:szCs w:val="24"/>
        </w:rPr>
        <w:t>, M., Marshall, M., Marshall, A., &amp; Bartlett, C. (2009). Two-eyed seeing and the</w:t>
      </w:r>
    </w:p>
    <w:p w14:paraId="7EE68C57" w14:textId="77777777" w:rsidR="00B05D78" w:rsidRDefault="00B0694D" w:rsidP="00CC70EF">
      <w:pPr>
        <w:spacing w:line="240" w:lineRule="auto"/>
        <w:ind w:left="720"/>
        <w:rPr>
          <w:sz w:val="24"/>
          <w:szCs w:val="24"/>
          <w:highlight w:val="white"/>
        </w:rPr>
      </w:pPr>
      <w:r>
        <w:rPr>
          <w:sz w:val="24"/>
          <w:szCs w:val="24"/>
        </w:rPr>
        <w:t xml:space="preserve">language of healing in community-based research. </w:t>
      </w:r>
      <w:r>
        <w:rPr>
          <w:i/>
          <w:sz w:val="24"/>
          <w:szCs w:val="24"/>
        </w:rPr>
        <w:t>Canadian Journal of Native Education</w:t>
      </w:r>
      <w:r>
        <w:rPr>
          <w:sz w:val="24"/>
          <w:szCs w:val="24"/>
        </w:rPr>
        <w:t xml:space="preserve">, </w:t>
      </w:r>
      <w:r>
        <w:rPr>
          <w:i/>
          <w:sz w:val="24"/>
          <w:szCs w:val="24"/>
        </w:rPr>
        <w:t>32</w:t>
      </w:r>
      <w:r>
        <w:rPr>
          <w:sz w:val="24"/>
          <w:szCs w:val="24"/>
        </w:rPr>
        <w:t xml:space="preserve">(2), 3-23. Retrieved April 24, 2021, from </w:t>
      </w:r>
      <w:hyperlink w:history="1">
        <w:r w:rsidR="009C4349" w:rsidRPr="00B80BE9">
          <w:rPr>
            <w:rStyle w:val="Hyperlink"/>
            <w:sz w:val="24"/>
            <w:szCs w:val="24"/>
          </w:rPr>
          <w:t>https://www.researchgate. net/publication/309725911_Twoeyed_seeing_and_the_language_of_healing_in_community-based_research</w:t>
        </w:r>
      </w:hyperlink>
    </w:p>
    <w:p w14:paraId="6DA2EF2C" w14:textId="77777777" w:rsidR="00B05D78" w:rsidRDefault="00B05D78" w:rsidP="00CC70EF">
      <w:pPr>
        <w:spacing w:line="240" w:lineRule="auto"/>
        <w:rPr>
          <w:sz w:val="24"/>
          <w:szCs w:val="24"/>
          <w:highlight w:val="white"/>
        </w:rPr>
      </w:pPr>
    </w:p>
    <w:p w14:paraId="1EBE57B5" w14:textId="77777777" w:rsidR="00B05D78" w:rsidRDefault="00B0694D" w:rsidP="00CC70EF">
      <w:pPr>
        <w:spacing w:line="240" w:lineRule="auto"/>
        <w:rPr>
          <w:sz w:val="24"/>
          <w:szCs w:val="24"/>
        </w:rPr>
      </w:pPr>
      <w:proofErr w:type="spellStart"/>
      <w:r>
        <w:rPr>
          <w:sz w:val="24"/>
          <w:szCs w:val="24"/>
        </w:rPr>
        <w:t>Kerpan</w:t>
      </w:r>
      <w:proofErr w:type="spellEnd"/>
      <w:r>
        <w:rPr>
          <w:sz w:val="24"/>
          <w:szCs w:val="24"/>
        </w:rPr>
        <w:t>, S. T., Louise Humbert, M., &amp; Henry, C. J. (2015). Determinants of diet for urban</w:t>
      </w:r>
    </w:p>
    <w:p w14:paraId="073783D0" w14:textId="77777777" w:rsidR="00B05D78" w:rsidRDefault="00B0694D" w:rsidP="00CC70EF">
      <w:pPr>
        <w:spacing w:line="240" w:lineRule="auto"/>
        <w:ind w:firstLine="720"/>
        <w:rPr>
          <w:i/>
          <w:sz w:val="24"/>
          <w:szCs w:val="24"/>
        </w:rPr>
      </w:pPr>
      <w:r>
        <w:rPr>
          <w:sz w:val="24"/>
          <w:szCs w:val="24"/>
        </w:rPr>
        <w:t>aboriginal youth: Implications for health promotion.</w:t>
      </w:r>
      <w:r>
        <w:rPr>
          <w:i/>
          <w:sz w:val="24"/>
          <w:szCs w:val="24"/>
        </w:rPr>
        <w:t xml:space="preserve"> Health Promotion Practice,</w:t>
      </w:r>
    </w:p>
    <w:p w14:paraId="77C879DB" w14:textId="77777777" w:rsidR="00B05D78" w:rsidRDefault="00B0694D" w:rsidP="00CC70EF">
      <w:pPr>
        <w:spacing w:line="240" w:lineRule="auto"/>
        <w:ind w:firstLine="720"/>
        <w:rPr>
          <w:sz w:val="24"/>
          <w:szCs w:val="24"/>
          <w:highlight w:val="white"/>
        </w:rPr>
      </w:pPr>
      <w:r>
        <w:rPr>
          <w:i/>
          <w:sz w:val="24"/>
          <w:szCs w:val="24"/>
        </w:rPr>
        <w:t>16</w:t>
      </w:r>
      <w:r>
        <w:rPr>
          <w:sz w:val="24"/>
          <w:szCs w:val="24"/>
        </w:rPr>
        <w:t xml:space="preserve">(3), 392-400. </w:t>
      </w:r>
      <w:hyperlink r:id="rId19">
        <w:r>
          <w:rPr>
            <w:color w:val="1155CC"/>
            <w:sz w:val="24"/>
            <w:szCs w:val="24"/>
            <w:u w:val="single"/>
          </w:rPr>
          <w:t>https://doi.org/10.1177/1524839914557862</w:t>
        </w:r>
      </w:hyperlink>
    </w:p>
    <w:p w14:paraId="60F7C8B5" w14:textId="77777777" w:rsidR="00B05D78" w:rsidRDefault="00B05D78" w:rsidP="00CC70EF">
      <w:pPr>
        <w:spacing w:line="240" w:lineRule="auto"/>
        <w:rPr>
          <w:sz w:val="24"/>
          <w:szCs w:val="24"/>
          <w:highlight w:val="white"/>
        </w:rPr>
      </w:pPr>
    </w:p>
    <w:p w14:paraId="1CDBB53A" w14:textId="77777777" w:rsidR="00B05D78" w:rsidRDefault="00B0694D" w:rsidP="00CC70EF">
      <w:pPr>
        <w:spacing w:line="240" w:lineRule="auto"/>
        <w:ind w:left="720" w:hanging="720"/>
        <w:rPr>
          <w:sz w:val="24"/>
          <w:szCs w:val="24"/>
          <w:u w:val="single"/>
        </w:rPr>
      </w:pPr>
      <w:proofErr w:type="spellStart"/>
      <w:r>
        <w:rPr>
          <w:sz w:val="24"/>
          <w:szCs w:val="24"/>
        </w:rPr>
        <w:t>Kinach</w:t>
      </w:r>
      <w:proofErr w:type="spellEnd"/>
      <w:r>
        <w:rPr>
          <w:sz w:val="24"/>
          <w:szCs w:val="24"/>
        </w:rPr>
        <w:t xml:space="preserve">, L., Parizeau, K., &amp; Fraser, E. D. G. (2019). Do food donation tax credits for farmers address food loss/waste and food insecurity? A case study from Ontario. </w:t>
      </w:r>
      <w:r>
        <w:rPr>
          <w:i/>
          <w:sz w:val="24"/>
          <w:szCs w:val="24"/>
        </w:rPr>
        <w:t>Agriculture and Human Values</w:t>
      </w:r>
      <w:r>
        <w:rPr>
          <w:sz w:val="24"/>
          <w:szCs w:val="24"/>
        </w:rPr>
        <w:t xml:space="preserve">, </w:t>
      </w:r>
      <w:r>
        <w:rPr>
          <w:i/>
          <w:sz w:val="24"/>
          <w:szCs w:val="24"/>
        </w:rPr>
        <w:t>37</w:t>
      </w:r>
      <w:r>
        <w:rPr>
          <w:sz w:val="24"/>
          <w:szCs w:val="24"/>
        </w:rPr>
        <w:t xml:space="preserve">, 383-396. </w:t>
      </w:r>
      <w:hyperlink r:id="rId20">
        <w:r>
          <w:rPr>
            <w:color w:val="1155CC"/>
            <w:sz w:val="24"/>
            <w:szCs w:val="24"/>
            <w:u w:val="single"/>
          </w:rPr>
          <w:t>https://link.springer.com/article/10.1 007%2Fs10460-019-09995-2</w:t>
        </w:r>
      </w:hyperlink>
      <w:r>
        <w:rPr>
          <w:sz w:val="24"/>
          <w:szCs w:val="24"/>
        </w:rPr>
        <w:t xml:space="preserve"> </w:t>
      </w:r>
    </w:p>
    <w:p w14:paraId="33C43402" w14:textId="77777777" w:rsidR="00B05D78" w:rsidRDefault="00B05D78" w:rsidP="00CC70EF">
      <w:pPr>
        <w:spacing w:line="240" w:lineRule="auto"/>
        <w:rPr>
          <w:sz w:val="24"/>
          <w:szCs w:val="24"/>
          <w:u w:val="single"/>
        </w:rPr>
      </w:pPr>
    </w:p>
    <w:p w14:paraId="090C0493" w14:textId="77777777" w:rsidR="00B05D78" w:rsidRDefault="00B0694D" w:rsidP="00CC70EF">
      <w:pPr>
        <w:spacing w:line="240" w:lineRule="auto"/>
        <w:rPr>
          <w:sz w:val="24"/>
          <w:szCs w:val="24"/>
        </w:rPr>
      </w:pPr>
      <w:r>
        <w:rPr>
          <w:sz w:val="24"/>
          <w:szCs w:val="24"/>
        </w:rPr>
        <w:t>Lang, T., &amp; Rayner, G. (2012). Ecological public health: The 21st century’s big idea? An</w:t>
      </w:r>
    </w:p>
    <w:p w14:paraId="2D1838B2" w14:textId="77777777" w:rsidR="00B05D78" w:rsidRDefault="00B0694D" w:rsidP="00CC70EF">
      <w:pPr>
        <w:spacing w:line="240" w:lineRule="auto"/>
        <w:ind w:firstLine="720"/>
        <w:rPr>
          <w:sz w:val="24"/>
          <w:szCs w:val="24"/>
        </w:rPr>
      </w:pPr>
      <w:r>
        <w:rPr>
          <w:sz w:val="24"/>
          <w:szCs w:val="24"/>
        </w:rPr>
        <w:t xml:space="preserve">essay by Tim Lang and </w:t>
      </w:r>
      <w:proofErr w:type="spellStart"/>
      <w:r>
        <w:rPr>
          <w:sz w:val="24"/>
          <w:szCs w:val="24"/>
        </w:rPr>
        <w:t>Geof</w:t>
      </w:r>
      <w:proofErr w:type="spellEnd"/>
      <w:r>
        <w:rPr>
          <w:sz w:val="24"/>
          <w:szCs w:val="24"/>
        </w:rPr>
        <w:t xml:space="preserve"> Rayner. </w:t>
      </w:r>
      <w:r>
        <w:rPr>
          <w:i/>
          <w:sz w:val="24"/>
          <w:szCs w:val="24"/>
        </w:rPr>
        <w:t>British Medical Journal</w:t>
      </w:r>
      <w:r>
        <w:rPr>
          <w:sz w:val="24"/>
          <w:szCs w:val="24"/>
        </w:rPr>
        <w:t xml:space="preserve">, </w:t>
      </w:r>
      <w:r>
        <w:rPr>
          <w:i/>
          <w:sz w:val="24"/>
          <w:szCs w:val="24"/>
        </w:rPr>
        <w:t>345</w:t>
      </w:r>
      <w:r>
        <w:rPr>
          <w:sz w:val="24"/>
          <w:szCs w:val="24"/>
        </w:rPr>
        <w:t>, e5466.</w:t>
      </w:r>
    </w:p>
    <w:p w14:paraId="1543CE79" w14:textId="77777777" w:rsidR="00B05D78" w:rsidRDefault="00A123AB" w:rsidP="00CC70EF">
      <w:pPr>
        <w:spacing w:line="240" w:lineRule="auto"/>
        <w:ind w:firstLine="720"/>
        <w:rPr>
          <w:sz w:val="24"/>
          <w:szCs w:val="24"/>
          <w:highlight w:val="white"/>
        </w:rPr>
      </w:pPr>
      <w:hyperlink r:id="rId21">
        <w:r w:rsidR="00B0694D">
          <w:rPr>
            <w:color w:val="1155CC"/>
            <w:sz w:val="24"/>
            <w:szCs w:val="24"/>
            <w:highlight w:val="white"/>
            <w:u w:val="single"/>
          </w:rPr>
          <w:t>https://doi-org.ezproxy.library.ubc.ca/10.1136/bmj.e5466</w:t>
        </w:r>
      </w:hyperlink>
    </w:p>
    <w:p w14:paraId="6554A835" w14:textId="77777777" w:rsidR="00BD35F9" w:rsidRDefault="00BD35F9" w:rsidP="00BD35F9">
      <w:pPr>
        <w:spacing w:line="240" w:lineRule="auto"/>
        <w:rPr>
          <w:sz w:val="24"/>
          <w:szCs w:val="24"/>
        </w:rPr>
      </w:pPr>
    </w:p>
    <w:p w14:paraId="7BC5F88E" w14:textId="77777777" w:rsidR="00BD35F9" w:rsidRDefault="00B0694D" w:rsidP="00BD35F9">
      <w:pPr>
        <w:spacing w:line="240" w:lineRule="auto"/>
        <w:rPr>
          <w:sz w:val="24"/>
          <w:szCs w:val="24"/>
        </w:rPr>
      </w:pPr>
      <w:r>
        <w:rPr>
          <w:sz w:val="24"/>
          <w:szCs w:val="24"/>
        </w:rPr>
        <w:t xml:space="preserve">Li, N., </w:t>
      </w:r>
      <w:proofErr w:type="spellStart"/>
      <w:r>
        <w:rPr>
          <w:sz w:val="24"/>
          <w:szCs w:val="24"/>
        </w:rPr>
        <w:t>Dachner</w:t>
      </w:r>
      <w:proofErr w:type="spellEnd"/>
      <w:r>
        <w:rPr>
          <w:sz w:val="24"/>
          <w:szCs w:val="24"/>
        </w:rPr>
        <w:t xml:space="preserve">, N., </w:t>
      </w:r>
      <w:proofErr w:type="spellStart"/>
      <w:r>
        <w:rPr>
          <w:sz w:val="24"/>
          <w:szCs w:val="24"/>
        </w:rPr>
        <w:t>Tarasuk</w:t>
      </w:r>
      <w:proofErr w:type="spellEnd"/>
      <w:r>
        <w:rPr>
          <w:sz w:val="24"/>
          <w:szCs w:val="24"/>
        </w:rPr>
        <w:t xml:space="preserve">, V., Zhang, R., </w:t>
      </w:r>
      <w:proofErr w:type="spellStart"/>
      <w:r>
        <w:rPr>
          <w:sz w:val="24"/>
          <w:szCs w:val="24"/>
        </w:rPr>
        <w:t>Kurrein</w:t>
      </w:r>
      <w:proofErr w:type="spellEnd"/>
      <w:r>
        <w:rPr>
          <w:sz w:val="24"/>
          <w:szCs w:val="24"/>
        </w:rPr>
        <w:t xml:space="preserve">, M., Harris, T., </w:t>
      </w:r>
      <w:proofErr w:type="spellStart"/>
      <w:r>
        <w:rPr>
          <w:sz w:val="24"/>
          <w:szCs w:val="24"/>
        </w:rPr>
        <w:t>Gustin</w:t>
      </w:r>
      <w:proofErr w:type="spellEnd"/>
      <w:r>
        <w:rPr>
          <w:sz w:val="24"/>
          <w:szCs w:val="24"/>
        </w:rPr>
        <w:t xml:space="preserve">, S., &amp; </w:t>
      </w:r>
      <w:proofErr w:type="spellStart"/>
      <w:r>
        <w:rPr>
          <w:sz w:val="24"/>
          <w:szCs w:val="24"/>
        </w:rPr>
        <w:t>Rasali</w:t>
      </w:r>
      <w:proofErr w:type="spellEnd"/>
      <w:r>
        <w:rPr>
          <w:sz w:val="24"/>
          <w:szCs w:val="24"/>
        </w:rPr>
        <w:t xml:space="preserve">, </w:t>
      </w:r>
    </w:p>
    <w:p w14:paraId="74DD50BA" w14:textId="77777777" w:rsidR="00BD35F9" w:rsidRDefault="00B0694D" w:rsidP="00BD35F9">
      <w:pPr>
        <w:spacing w:line="240" w:lineRule="auto"/>
        <w:ind w:firstLine="720"/>
        <w:rPr>
          <w:sz w:val="24"/>
          <w:szCs w:val="24"/>
        </w:rPr>
      </w:pPr>
      <w:r>
        <w:rPr>
          <w:sz w:val="24"/>
          <w:szCs w:val="24"/>
        </w:rPr>
        <w:t>D. (2016). Priority health equity indicators for British Columbia: Household food</w:t>
      </w:r>
    </w:p>
    <w:p w14:paraId="696ED432" w14:textId="77777777" w:rsidR="00BD35F9" w:rsidRDefault="00B0694D" w:rsidP="00BD35F9">
      <w:pPr>
        <w:spacing w:line="240" w:lineRule="auto"/>
        <w:ind w:firstLine="720"/>
        <w:rPr>
          <w:sz w:val="24"/>
          <w:szCs w:val="24"/>
        </w:rPr>
      </w:pPr>
      <w:r>
        <w:rPr>
          <w:sz w:val="24"/>
          <w:szCs w:val="24"/>
        </w:rPr>
        <w:t>insecurity indicator report. Toronto: Research to identify policy options to reduce</w:t>
      </w:r>
    </w:p>
    <w:p w14:paraId="5BCF8044" w14:textId="77777777" w:rsidR="00B05D78" w:rsidRDefault="00B0694D" w:rsidP="00BD35F9">
      <w:pPr>
        <w:spacing w:line="240" w:lineRule="auto"/>
        <w:ind w:left="720"/>
        <w:rPr>
          <w:sz w:val="24"/>
          <w:szCs w:val="24"/>
        </w:rPr>
      </w:pPr>
      <w:r>
        <w:rPr>
          <w:sz w:val="24"/>
          <w:szCs w:val="24"/>
        </w:rPr>
        <w:t xml:space="preserve">food insecurity (PROOF). Retrieved from </w:t>
      </w:r>
      <w:hyperlink r:id="rId22" w:history="1">
        <w:r w:rsidR="00BD35F9" w:rsidRPr="00B80BE9">
          <w:rPr>
            <w:rStyle w:val="Hyperlink"/>
            <w:sz w:val="24"/>
            <w:szCs w:val="24"/>
          </w:rPr>
          <w:t>http://www.bccdc.ca/pop-public-health/ Documents/Household%20food%20insecurity%20in%20BC_full%20report.pdf</w:t>
        </w:r>
      </w:hyperlink>
    </w:p>
    <w:p w14:paraId="4278A571" w14:textId="77777777" w:rsidR="00B05D78" w:rsidRDefault="00B05D78" w:rsidP="00CC70EF">
      <w:pPr>
        <w:spacing w:line="240" w:lineRule="auto"/>
        <w:ind w:left="1440" w:hanging="720"/>
        <w:rPr>
          <w:sz w:val="24"/>
          <w:szCs w:val="24"/>
        </w:rPr>
      </w:pPr>
    </w:p>
    <w:p w14:paraId="296FB9BE" w14:textId="77777777" w:rsidR="00B05D78" w:rsidRDefault="00B0694D" w:rsidP="00CC70EF">
      <w:pPr>
        <w:spacing w:line="240" w:lineRule="auto"/>
        <w:ind w:left="720" w:hanging="720"/>
        <w:rPr>
          <w:sz w:val="24"/>
          <w:szCs w:val="24"/>
        </w:rPr>
      </w:pPr>
      <w:proofErr w:type="spellStart"/>
      <w:r>
        <w:rPr>
          <w:sz w:val="24"/>
          <w:szCs w:val="24"/>
        </w:rPr>
        <w:t>Loppie</w:t>
      </w:r>
      <w:proofErr w:type="spellEnd"/>
      <w:r>
        <w:rPr>
          <w:sz w:val="24"/>
          <w:szCs w:val="24"/>
        </w:rPr>
        <w:t xml:space="preserve"> Reading, C., &amp; Wien, F. (2009). </w:t>
      </w:r>
      <w:r>
        <w:rPr>
          <w:i/>
          <w:sz w:val="24"/>
          <w:szCs w:val="24"/>
        </w:rPr>
        <w:t>Health inequalities and the social determinants of Aboriginal Peoples’ health</w:t>
      </w:r>
      <w:r>
        <w:rPr>
          <w:sz w:val="24"/>
          <w:szCs w:val="24"/>
        </w:rPr>
        <w:t xml:space="preserve">. National Collaborating Centre for Aboriginal Health. </w:t>
      </w:r>
      <w:hyperlink r:id="rId23">
        <w:r>
          <w:rPr>
            <w:color w:val="1155CC"/>
            <w:sz w:val="24"/>
            <w:szCs w:val="24"/>
            <w:u w:val="single"/>
          </w:rPr>
          <w:t>https://www.nccah-ccnsa.ca/docs/social%20determinates/nccah-loppie-wien_report.pdf</w:t>
        </w:r>
      </w:hyperlink>
    </w:p>
    <w:p w14:paraId="3E3571C2" w14:textId="77777777" w:rsidR="00BD35F9" w:rsidRDefault="00BD35F9" w:rsidP="00CC70EF">
      <w:pPr>
        <w:spacing w:line="240" w:lineRule="auto"/>
        <w:rPr>
          <w:sz w:val="24"/>
          <w:szCs w:val="24"/>
        </w:rPr>
      </w:pPr>
    </w:p>
    <w:p w14:paraId="235A011C" w14:textId="77777777" w:rsidR="00B05D78" w:rsidRDefault="00B0694D" w:rsidP="00CC70EF">
      <w:pPr>
        <w:spacing w:line="240" w:lineRule="auto"/>
        <w:rPr>
          <w:sz w:val="24"/>
          <w:szCs w:val="24"/>
        </w:rPr>
      </w:pPr>
      <w:proofErr w:type="spellStart"/>
      <w:r>
        <w:rPr>
          <w:sz w:val="24"/>
          <w:szCs w:val="24"/>
        </w:rPr>
        <w:t>McCleland</w:t>
      </w:r>
      <w:proofErr w:type="spellEnd"/>
      <w:r>
        <w:rPr>
          <w:sz w:val="24"/>
          <w:szCs w:val="24"/>
        </w:rPr>
        <w:t>, A. (2011). Culturally Safe Nursing Research: Exploring the Use of an</w:t>
      </w:r>
    </w:p>
    <w:p w14:paraId="4EE95CA6" w14:textId="77777777" w:rsidR="00B05D78" w:rsidRDefault="00B0694D" w:rsidP="00CC70EF">
      <w:pPr>
        <w:spacing w:line="240" w:lineRule="auto"/>
        <w:ind w:left="720"/>
        <w:rPr>
          <w:sz w:val="24"/>
          <w:szCs w:val="24"/>
        </w:rPr>
      </w:pPr>
      <w:r>
        <w:rPr>
          <w:sz w:val="24"/>
          <w:szCs w:val="24"/>
        </w:rPr>
        <w:t xml:space="preserve">Indigenous Research Methodology From an Indigenous Researcher’s Perspective. </w:t>
      </w:r>
      <w:r>
        <w:rPr>
          <w:i/>
          <w:sz w:val="24"/>
          <w:szCs w:val="24"/>
        </w:rPr>
        <w:t>Journal of Transcultural Nursing</w:t>
      </w:r>
      <w:r>
        <w:rPr>
          <w:sz w:val="24"/>
          <w:szCs w:val="24"/>
        </w:rPr>
        <w:t xml:space="preserve">, </w:t>
      </w:r>
      <w:r>
        <w:rPr>
          <w:i/>
          <w:sz w:val="24"/>
          <w:szCs w:val="24"/>
        </w:rPr>
        <w:t>22</w:t>
      </w:r>
      <w:r>
        <w:rPr>
          <w:sz w:val="24"/>
          <w:szCs w:val="24"/>
        </w:rPr>
        <w:t xml:space="preserve">(4), 362-367. </w:t>
      </w:r>
      <w:hyperlink r:id="rId24">
        <w:r>
          <w:rPr>
            <w:color w:val="1155CC"/>
            <w:sz w:val="24"/>
            <w:szCs w:val="24"/>
            <w:u w:val="single"/>
          </w:rPr>
          <w:t>https://doi.org/10.1177%2F1043659611414141</w:t>
        </w:r>
      </w:hyperlink>
    </w:p>
    <w:p w14:paraId="69941F19" w14:textId="77777777" w:rsidR="00B05D78" w:rsidRDefault="00B05D78" w:rsidP="00CC70EF">
      <w:pPr>
        <w:widowControl w:val="0"/>
        <w:spacing w:line="240" w:lineRule="auto"/>
        <w:rPr>
          <w:sz w:val="24"/>
          <w:szCs w:val="24"/>
        </w:rPr>
      </w:pPr>
    </w:p>
    <w:p w14:paraId="7279F744" w14:textId="77777777" w:rsidR="009C4349" w:rsidRDefault="009C4349" w:rsidP="00CC70EF">
      <w:pPr>
        <w:widowControl w:val="0"/>
        <w:spacing w:line="240" w:lineRule="auto"/>
        <w:ind w:left="720" w:hanging="720"/>
        <w:rPr>
          <w:sz w:val="24"/>
          <w:szCs w:val="24"/>
        </w:rPr>
      </w:pPr>
    </w:p>
    <w:p w14:paraId="4C0FEF34" w14:textId="77777777" w:rsidR="00B05D78" w:rsidRDefault="00B0694D" w:rsidP="00CC70EF">
      <w:pPr>
        <w:widowControl w:val="0"/>
        <w:spacing w:line="240" w:lineRule="auto"/>
        <w:ind w:left="720" w:hanging="720"/>
        <w:rPr>
          <w:sz w:val="24"/>
          <w:szCs w:val="24"/>
          <w:highlight w:val="white"/>
        </w:rPr>
      </w:pPr>
      <w:r>
        <w:rPr>
          <w:sz w:val="24"/>
          <w:szCs w:val="24"/>
        </w:rPr>
        <w:lastRenderedPageBreak/>
        <w:t xml:space="preserve">McIntyre, L., Patterson, P. B., Anderson, L. C., &amp; </w:t>
      </w:r>
      <w:proofErr w:type="spellStart"/>
      <w:r>
        <w:rPr>
          <w:sz w:val="24"/>
          <w:szCs w:val="24"/>
        </w:rPr>
        <w:t>Mah</w:t>
      </w:r>
      <w:proofErr w:type="spellEnd"/>
      <w:r>
        <w:rPr>
          <w:sz w:val="24"/>
          <w:szCs w:val="24"/>
        </w:rPr>
        <w:t xml:space="preserve">, C. L. (2016). Household food insecurity in Canada: Problem definition and potential solutions in the public policy domain. </w:t>
      </w:r>
      <w:r>
        <w:rPr>
          <w:i/>
          <w:sz w:val="24"/>
          <w:szCs w:val="24"/>
        </w:rPr>
        <w:t>Canadian Public Policy, 42</w:t>
      </w:r>
      <w:r>
        <w:rPr>
          <w:sz w:val="24"/>
          <w:szCs w:val="24"/>
        </w:rPr>
        <w:t>(1), 83-93. doi:10.3138/cpp.2</w:t>
      </w:r>
    </w:p>
    <w:p w14:paraId="1A586F57" w14:textId="77777777" w:rsidR="00B05D78" w:rsidRDefault="00B05D78" w:rsidP="00CC70EF">
      <w:pPr>
        <w:spacing w:line="240" w:lineRule="auto"/>
        <w:ind w:firstLine="720"/>
        <w:rPr>
          <w:sz w:val="24"/>
          <w:szCs w:val="24"/>
          <w:highlight w:val="white"/>
        </w:rPr>
      </w:pPr>
    </w:p>
    <w:p w14:paraId="4DB42117" w14:textId="77777777" w:rsidR="00B05D78" w:rsidRDefault="00B0694D" w:rsidP="00CC70EF">
      <w:pPr>
        <w:widowControl w:val="0"/>
        <w:spacing w:line="240" w:lineRule="auto"/>
        <w:ind w:left="720" w:hanging="720"/>
        <w:rPr>
          <w:sz w:val="24"/>
          <w:szCs w:val="24"/>
          <w:highlight w:val="white"/>
        </w:rPr>
      </w:pPr>
      <w:proofErr w:type="spellStart"/>
      <w:r>
        <w:rPr>
          <w:sz w:val="24"/>
          <w:szCs w:val="24"/>
          <w:highlight w:val="white"/>
        </w:rPr>
        <w:t>Mundel</w:t>
      </w:r>
      <w:proofErr w:type="spellEnd"/>
      <w:r>
        <w:rPr>
          <w:sz w:val="24"/>
          <w:szCs w:val="24"/>
          <w:highlight w:val="white"/>
        </w:rPr>
        <w:t xml:space="preserve">, E., </w:t>
      </w:r>
      <w:proofErr w:type="spellStart"/>
      <w:r>
        <w:rPr>
          <w:sz w:val="24"/>
          <w:szCs w:val="24"/>
          <w:highlight w:val="white"/>
        </w:rPr>
        <w:t>Bevelander</w:t>
      </w:r>
      <w:proofErr w:type="spellEnd"/>
      <w:r>
        <w:rPr>
          <w:sz w:val="24"/>
          <w:szCs w:val="24"/>
          <w:highlight w:val="white"/>
        </w:rPr>
        <w:t xml:space="preserve">, K., &amp; </w:t>
      </w:r>
      <w:proofErr w:type="spellStart"/>
      <w:r>
        <w:rPr>
          <w:sz w:val="24"/>
          <w:szCs w:val="24"/>
          <w:highlight w:val="white"/>
        </w:rPr>
        <w:t>Burgaretta</w:t>
      </w:r>
      <w:proofErr w:type="spellEnd"/>
      <w:r>
        <w:rPr>
          <w:sz w:val="24"/>
          <w:szCs w:val="24"/>
          <w:highlight w:val="white"/>
        </w:rPr>
        <w:t xml:space="preserve">, M. (2016). </w:t>
      </w:r>
      <w:r>
        <w:rPr>
          <w:i/>
          <w:sz w:val="24"/>
          <w:szCs w:val="24"/>
          <w:highlight w:val="white"/>
        </w:rPr>
        <w:t xml:space="preserve">Increasing Indigenous children’s access to traditional foods in early childhood programs. </w:t>
      </w:r>
      <w:r>
        <w:rPr>
          <w:sz w:val="24"/>
          <w:szCs w:val="24"/>
          <w:highlight w:val="white"/>
        </w:rPr>
        <w:t xml:space="preserve">Provincial Health Services Authority. </w:t>
      </w:r>
      <w:hyperlink r:id="rId25">
        <w:r>
          <w:rPr>
            <w:color w:val="1155CC"/>
            <w:sz w:val="24"/>
            <w:szCs w:val="24"/>
            <w:highlight w:val="white"/>
            <w:u w:val="single"/>
          </w:rPr>
          <w:t>http://www.bccdc.ca/pop-public-health/Documents/Increasing %20Indigenous%20children%27s%20access%20to%20traditional%20foods_full%20report.pdf</w:t>
        </w:r>
      </w:hyperlink>
    </w:p>
    <w:p w14:paraId="126649F2" w14:textId="77777777" w:rsidR="00B05D78" w:rsidRDefault="00B05D78" w:rsidP="00CC70EF">
      <w:pPr>
        <w:widowControl w:val="0"/>
        <w:spacing w:line="240" w:lineRule="auto"/>
        <w:rPr>
          <w:sz w:val="24"/>
          <w:szCs w:val="24"/>
          <w:highlight w:val="white"/>
        </w:rPr>
      </w:pPr>
    </w:p>
    <w:p w14:paraId="792F938A" w14:textId="77777777" w:rsidR="00B05D78" w:rsidRDefault="00B0694D" w:rsidP="00CC70EF">
      <w:pPr>
        <w:widowControl w:val="0"/>
        <w:spacing w:line="240" w:lineRule="auto"/>
        <w:rPr>
          <w:sz w:val="24"/>
          <w:szCs w:val="24"/>
          <w:highlight w:val="white"/>
        </w:rPr>
      </w:pPr>
      <w:r>
        <w:rPr>
          <w:sz w:val="24"/>
          <w:szCs w:val="24"/>
          <w:highlight w:val="white"/>
        </w:rPr>
        <w:t xml:space="preserve">Nord, M. (2014). What have we learned from two decades of research on household </w:t>
      </w:r>
    </w:p>
    <w:p w14:paraId="313C120A" w14:textId="77777777" w:rsidR="00B05D78" w:rsidRDefault="00B0694D" w:rsidP="00CC70EF">
      <w:pPr>
        <w:widowControl w:val="0"/>
        <w:spacing w:line="240" w:lineRule="auto"/>
        <w:ind w:left="720"/>
        <w:rPr>
          <w:sz w:val="24"/>
          <w:szCs w:val="24"/>
          <w:highlight w:val="white"/>
        </w:rPr>
      </w:pPr>
      <w:r>
        <w:rPr>
          <w:sz w:val="24"/>
          <w:szCs w:val="24"/>
          <w:highlight w:val="white"/>
        </w:rPr>
        <w:t xml:space="preserve">food security? </w:t>
      </w:r>
      <w:r>
        <w:rPr>
          <w:i/>
          <w:sz w:val="24"/>
          <w:szCs w:val="24"/>
          <w:highlight w:val="white"/>
        </w:rPr>
        <w:t>Public Health Nutrition</w:t>
      </w:r>
      <w:r>
        <w:rPr>
          <w:sz w:val="24"/>
          <w:szCs w:val="24"/>
          <w:highlight w:val="white"/>
        </w:rPr>
        <w:t xml:space="preserve">, </w:t>
      </w:r>
      <w:r>
        <w:rPr>
          <w:i/>
          <w:sz w:val="24"/>
          <w:szCs w:val="24"/>
          <w:highlight w:val="white"/>
        </w:rPr>
        <w:t>17</w:t>
      </w:r>
      <w:r>
        <w:rPr>
          <w:sz w:val="24"/>
          <w:szCs w:val="24"/>
          <w:highlight w:val="white"/>
        </w:rPr>
        <w:t>(1), 2-4. doi:10.1017/S13689800130030 91</w:t>
      </w:r>
    </w:p>
    <w:p w14:paraId="688CDBAD" w14:textId="77777777" w:rsidR="00B05D78" w:rsidRDefault="00B05D78" w:rsidP="00CC70EF">
      <w:pPr>
        <w:widowControl w:val="0"/>
        <w:spacing w:line="240" w:lineRule="auto"/>
        <w:ind w:firstLine="720"/>
        <w:rPr>
          <w:sz w:val="24"/>
          <w:szCs w:val="24"/>
          <w:highlight w:val="white"/>
        </w:rPr>
      </w:pPr>
    </w:p>
    <w:p w14:paraId="7ED47813" w14:textId="77777777" w:rsidR="00B05D78" w:rsidRDefault="00B0694D" w:rsidP="00CC70EF">
      <w:pPr>
        <w:widowControl w:val="0"/>
        <w:spacing w:line="240" w:lineRule="auto"/>
        <w:ind w:left="720" w:hanging="720"/>
        <w:rPr>
          <w:sz w:val="24"/>
          <w:szCs w:val="24"/>
        </w:rPr>
      </w:pPr>
      <w:r>
        <w:rPr>
          <w:sz w:val="24"/>
          <w:szCs w:val="24"/>
        </w:rPr>
        <w:t xml:space="preserve">Nutrition Division. (2013). </w:t>
      </w:r>
      <w:r>
        <w:rPr>
          <w:i/>
          <w:sz w:val="24"/>
          <w:szCs w:val="24"/>
        </w:rPr>
        <w:t>Indigenous Peoples’ food systems &amp; well-being: Interventions and policies for healthy communities</w:t>
      </w:r>
      <w:r>
        <w:rPr>
          <w:sz w:val="24"/>
          <w:szCs w:val="24"/>
        </w:rPr>
        <w:t xml:space="preserve">. The Food and Agriculture Organization (FAO). </w:t>
      </w:r>
      <w:hyperlink r:id="rId26">
        <w:r>
          <w:rPr>
            <w:color w:val="1155CC"/>
            <w:sz w:val="24"/>
            <w:szCs w:val="24"/>
            <w:u w:val="single"/>
          </w:rPr>
          <w:t>http://www.fao.org/3/i3144e/i3144e.pdf</w:t>
        </w:r>
      </w:hyperlink>
    </w:p>
    <w:p w14:paraId="380F7740" w14:textId="77777777" w:rsidR="00B05D78" w:rsidRDefault="00B05D78" w:rsidP="00CC70EF">
      <w:pPr>
        <w:widowControl w:val="0"/>
        <w:spacing w:line="240" w:lineRule="auto"/>
        <w:rPr>
          <w:sz w:val="24"/>
          <w:szCs w:val="24"/>
        </w:rPr>
      </w:pPr>
    </w:p>
    <w:p w14:paraId="445E9FF3" w14:textId="77777777" w:rsidR="00B05D78" w:rsidRDefault="00B0694D" w:rsidP="00CC70EF">
      <w:pPr>
        <w:widowControl w:val="0"/>
        <w:spacing w:line="240" w:lineRule="auto"/>
        <w:rPr>
          <w:i/>
          <w:sz w:val="24"/>
          <w:szCs w:val="24"/>
        </w:rPr>
      </w:pPr>
      <w:r>
        <w:rPr>
          <w:sz w:val="24"/>
          <w:szCs w:val="24"/>
        </w:rPr>
        <w:t xml:space="preserve">OECD. (2018). “Indigenous </w:t>
      </w:r>
      <w:proofErr w:type="spellStart"/>
      <w:r>
        <w:rPr>
          <w:sz w:val="24"/>
          <w:szCs w:val="24"/>
        </w:rPr>
        <w:t>labour</w:t>
      </w:r>
      <w:proofErr w:type="spellEnd"/>
      <w:r>
        <w:rPr>
          <w:sz w:val="24"/>
          <w:szCs w:val="24"/>
        </w:rPr>
        <w:t xml:space="preserve"> market outcomes in Canada”, </w:t>
      </w:r>
      <w:r>
        <w:rPr>
          <w:i/>
          <w:sz w:val="24"/>
          <w:szCs w:val="24"/>
        </w:rPr>
        <w:t xml:space="preserve">Indigenous </w:t>
      </w:r>
    </w:p>
    <w:p w14:paraId="7D2B14FA" w14:textId="77777777" w:rsidR="00B05D78" w:rsidRDefault="00B0694D" w:rsidP="00CC70EF">
      <w:pPr>
        <w:widowControl w:val="0"/>
        <w:spacing w:line="240" w:lineRule="auto"/>
        <w:ind w:firstLine="720"/>
        <w:rPr>
          <w:sz w:val="24"/>
          <w:szCs w:val="24"/>
        </w:rPr>
      </w:pPr>
      <w:r>
        <w:rPr>
          <w:i/>
          <w:sz w:val="24"/>
          <w:szCs w:val="24"/>
        </w:rPr>
        <w:t>Employment and Skills Strategies in Canada</w:t>
      </w:r>
      <w:r>
        <w:rPr>
          <w:sz w:val="24"/>
          <w:szCs w:val="24"/>
        </w:rPr>
        <w:t xml:space="preserve">, OECD Publishing, Paris, </w:t>
      </w:r>
    </w:p>
    <w:p w14:paraId="78D0A3A4" w14:textId="77777777" w:rsidR="00B05D78" w:rsidRDefault="00A123AB" w:rsidP="00CC70EF">
      <w:pPr>
        <w:widowControl w:val="0"/>
        <w:spacing w:line="240" w:lineRule="auto"/>
        <w:ind w:firstLine="720"/>
        <w:rPr>
          <w:sz w:val="24"/>
          <w:szCs w:val="24"/>
          <w:highlight w:val="white"/>
        </w:rPr>
      </w:pPr>
      <w:hyperlink r:id="rId27">
        <w:r w:rsidR="00B0694D">
          <w:rPr>
            <w:color w:val="1155CC"/>
            <w:sz w:val="24"/>
            <w:szCs w:val="24"/>
            <w:u w:val="single"/>
          </w:rPr>
          <w:t>https://doi.org/10.1787/9789264300477-6-en</w:t>
        </w:r>
      </w:hyperlink>
    </w:p>
    <w:p w14:paraId="7722CF46" w14:textId="77777777" w:rsidR="00B05D78" w:rsidRDefault="00B05D78" w:rsidP="00CC70EF">
      <w:pPr>
        <w:widowControl w:val="0"/>
        <w:spacing w:line="240" w:lineRule="auto"/>
        <w:rPr>
          <w:sz w:val="24"/>
          <w:szCs w:val="24"/>
        </w:rPr>
      </w:pPr>
    </w:p>
    <w:p w14:paraId="0D76A4A6" w14:textId="77777777" w:rsidR="00B05D78" w:rsidRDefault="00B0694D" w:rsidP="00CC70EF">
      <w:pPr>
        <w:spacing w:line="240" w:lineRule="auto"/>
        <w:rPr>
          <w:sz w:val="24"/>
          <w:szCs w:val="24"/>
        </w:rPr>
      </w:pPr>
      <w:proofErr w:type="spellStart"/>
      <w:r>
        <w:rPr>
          <w:sz w:val="24"/>
          <w:szCs w:val="24"/>
        </w:rPr>
        <w:t>Ottem</w:t>
      </w:r>
      <w:proofErr w:type="spellEnd"/>
      <w:r>
        <w:rPr>
          <w:sz w:val="24"/>
          <w:szCs w:val="24"/>
        </w:rPr>
        <w:t xml:space="preserve">, A. (2010). Healthy Eating and Food Security: Promising Strategies for BC: A </w:t>
      </w:r>
    </w:p>
    <w:p w14:paraId="1B971D4B" w14:textId="77777777" w:rsidR="00B05D78" w:rsidRDefault="00B0694D" w:rsidP="00CC70EF">
      <w:pPr>
        <w:spacing w:line="240" w:lineRule="auto"/>
        <w:ind w:left="720"/>
        <w:rPr>
          <w:sz w:val="24"/>
          <w:szCs w:val="24"/>
        </w:rPr>
      </w:pPr>
      <w:r>
        <w:rPr>
          <w:sz w:val="24"/>
          <w:szCs w:val="24"/>
        </w:rPr>
        <w:t xml:space="preserve">Discussion Paper. Dietitians of Canada. </w:t>
      </w:r>
      <w:hyperlink r:id="rId28">
        <w:r>
          <w:rPr>
            <w:color w:val="1155CC"/>
            <w:sz w:val="24"/>
            <w:szCs w:val="24"/>
            <w:u w:val="single"/>
          </w:rPr>
          <w:t>https://phabc.org/wp-content/uploads /2015/07/FINAL_HEFS_Report_Apr-29.pdf</w:t>
        </w:r>
      </w:hyperlink>
    </w:p>
    <w:p w14:paraId="0F4B8770" w14:textId="77777777" w:rsidR="00B05D78" w:rsidRDefault="00B05D78" w:rsidP="00CC70EF">
      <w:pPr>
        <w:spacing w:line="240" w:lineRule="auto"/>
        <w:rPr>
          <w:sz w:val="24"/>
          <w:szCs w:val="24"/>
        </w:rPr>
      </w:pPr>
    </w:p>
    <w:p w14:paraId="5F978836" w14:textId="77777777" w:rsidR="00B05D78" w:rsidRDefault="00B0694D" w:rsidP="00CC70EF">
      <w:pPr>
        <w:spacing w:line="240" w:lineRule="auto"/>
        <w:rPr>
          <w:sz w:val="24"/>
          <w:szCs w:val="24"/>
        </w:rPr>
      </w:pPr>
      <w:proofErr w:type="spellStart"/>
      <w:r>
        <w:rPr>
          <w:sz w:val="24"/>
          <w:szCs w:val="24"/>
        </w:rPr>
        <w:t>Paradies</w:t>
      </w:r>
      <w:proofErr w:type="spellEnd"/>
      <w:r>
        <w:rPr>
          <w:sz w:val="24"/>
          <w:szCs w:val="24"/>
        </w:rPr>
        <w:t xml:space="preserve">, Y. (2018). Racism and Indigenous Health. </w:t>
      </w:r>
      <w:r>
        <w:rPr>
          <w:i/>
          <w:sz w:val="24"/>
          <w:szCs w:val="24"/>
        </w:rPr>
        <w:t xml:space="preserve">Oxford Research Encyclopedia of </w:t>
      </w:r>
    </w:p>
    <w:p w14:paraId="5351661E" w14:textId="77777777" w:rsidR="00B05D78" w:rsidRDefault="00B0694D" w:rsidP="00CC70EF">
      <w:pPr>
        <w:spacing w:line="240" w:lineRule="auto"/>
        <w:ind w:firstLine="720"/>
        <w:rPr>
          <w:sz w:val="24"/>
          <w:szCs w:val="24"/>
        </w:rPr>
      </w:pPr>
      <w:r>
        <w:rPr>
          <w:i/>
          <w:sz w:val="24"/>
          <w:szCs w:val="24"/>
        </w:rPr>
        <w:t>Global Public Health</w:t>
      </w:r>
      <w:r>
        <w:rPr>
          <w:sz w:val="24"/>
          <w:szCs w:val="24"/>
        </w:rPr>
        <w:t xml:space="preserve">. </w:t>
      </w:r>
      <w:hyperlink r:id="rId29">
        <w:r>
          <w:rPr>
            <w:color w:val="1155CC"/>
            <w:sz w:val="24"/>
            <w:szCs w:val="24"/>
            <w:u w:val="single"/>
          </w:rPr>
          <w:t>https://doi.org/10.1093/acrefore/9780190632366.013.86</w:t>
        </w:r>
      </w:hyperlink>
    </w:p>
    <w:p w14:paraId="74C77951" w14:textId="77777777" w:rsidR="00B05D78" w:rsidRDefault="00B05D78" w:rsidP="00CC70EF">
      <w:pPr>
        <w:spacing w:line="240" w:lineRule="auto"/>
        <w:ind w:firstLine="720"/>
        <w:rPr>
          <w:sz w:val="24"/>
          <w:szCs w:val="24"/>
        </w:rPr>
      </w:pPr>
    </w:p>
    <w:p w14:paraId="23861243" w14:textId="77777777" w:rsidR="00B05D78" w:rsidRDefault="00B0694D" w:rsidP="00CC70EF">
      <w:pPr>
        <w:spacing w:line="240" w:lineRule="auto"/>
        <w:rPr>
          <w:sz w:val="24"/>
          <w:szCs w:val="24"/>
        </w:rPr>
      </w:pPr>
      <w:r>
        <w:rPr>
          <w:sz w:val="24"/>
          <w:szCs w:val="24"/>
        </w:rPr>
        <w:t>Peltier, C. (2018). An application of two-eyed seeing: Indigenous research methods with</w:t>
      </w:r>
    </w:p>
    <w:p w14:paraId="6977554D" w14:textId="77777777" w:rsidR="00B05D78" w:rsidRDefault="00B0694D" w:rsidP="00CC70EF">
      <w:pPr>
        <w:spacing w:line="240" w:lineRule="auto"/>
        <w:ind w:firstLine="720"/>
        <w:rPr>
          <w:sz w:val="24"/>
          <w:szCs w:val="24"/>
        </w:rPr>
      </w:pPr>
      <w:r>
        <w:rPr>
          <w:sz w:val="24"/>
          <w:szCs w:val="24"/>
        </w:rPr>
        <w:t xml:space="preserve">participatory action research. </w:t>
      </w:r>
      <w:r>
        <w:rPr>
          <w:i/>
          <w:sz w:val="24"/>
          <w:szCs w:val="24"/>
        </w:rPr>
        <w:t>International Journal of Qualitative Methods, 17</w:t>
      </w:r>
      <w:r>
        <w:rPr>
          <w:sz w:val="24"/>
          <w:szCs w:val="24"/>
        </w:rPr>
        <w:t>(1),</w:t>
      </w:r>
    </w:p>
    <w:p w14:paraId="22105752" w14:textId="77777777" w:rsidR="00B05D78" w:rsidRDefault="00B0694D" w:rsidP="00CC70EF">
      <w:pPr>
        <w:spacing w:line="240" w:lineRule="auto"/>
        <w:ind w:firstLine="720"/>
        <w:rPr>
          <w:sz w:val="24"/>
          <w:szCs w:val="24"/>
        </w:rPr>
      </w:pPr>
      <w:r>
        <w:rPr>
          <w:sz w:val="24"/>
          <w:szCs w:val="24"/>
        </w:rPr>
        <w:t xml:space="preserve">1-12. </w:t>
      </w:r>
      <w:hyperlink r:id="rId30">
        <w:r>
          <w:rPr>
            <w:color w:val="1155CC"/>
            <w:sz w:val="24"/>
            <w:szCs w:val="24"/>
            <w:u w:val="single"/>
          </w:rPr>
          <w:t>https://doi.org/10.1177%2F1609406918812346</w:t>
        </w:r>
      </w:hyperlink>
    </w:p>
    <w:p w14:paraId="67F2B14A" w14:textId="77777777" w:rsidR="00B05D78" w:rsidRDefault="00B05D78" w:rsidP="00CC70EF">
      <w:pPr>
        <w:spacing w:line="240" w:lineRule="auto"/>
        <w:rPr>
          <w:sz w:val="24"/>
          <w:szCs w:val="24"/>
        </w:rPr>
      </w:pPr>
    </w:p>
    <w:p w14:paraId="64884F2E" w14:textId="77777777" w:rsidR="00B05D78" w:rsidRDefault="00B0694D" w:rsidP="00CC70EF">
      <w:pPr>
        <w:widowControl w:val="0"/>
        <w:spacing w:line="240" w:lineRule="auto"/>
        <w:rPr>
          <w:i/>
          <w:sz w:val="24"/>
          <w:szCs w:val="24"/>
        </w:rPr>
      </w:pPr>
      <w:r>
        <w:rPr>
          <w:sz w:val="24"/>
          <w:szCs w:val="24"/>
        </w:rPr>
        <w:t xml:space="preserve">People’s Food Policy Project. (2011). </w:t>
      </w:r>
      <w:r>
        <w:rPr>
          <w:i/>
          <w:sz w:val="24"/>
          <w:szCs w:val="24"/>
        </w:rPr>
        <w:t>Resetting the table: A people’s food policy for</w:t>
      </w:r>
    </w:p>
    <w:p w14:paraId="5C5275BF" w14:textId="77777777" w:rsidR="00B05D78" w:rsidRDefault="00B0694D" w:rsidP="00CC70EF">
      <w:pPr>
        <w:widowControl w:val="0"/>
        <w:spacing w:line="240" w:lineRule="auto"/>
        <w:ind w:left="720"/>
        <w:rPr>
          <w:sz w:val="24"/>
          <w:szCs w:val="24"/>
        </w:rPr>
      </w:pPr>
      <w:r>
        <w:rPr>
          <w:i/>
          <w:sz w:val="24"/>
          <w:szCs w:val="24"/>
        </w:rPr>
        <w:t>Canada</w:t>
      </w:r>
      <w:r>
        <w:rPr>
          <w:sz w:val="24"/>
          <w:szCs w:val="24"/>
        </w:rPr>
        <w:t xml:space="preserve">. People’s Food Policy Project. </w:t>
      </w:r>
      <w:hyperlink r:id="rId31">
        <w:r>
          <w:rPr>
            <w:color w:val="1155CC"/>
            <w:sz w:val="24"/>
            <w:szCs w:val="24"/>
            <w:u w:val="single"/>
          </w:rPr>
          <w:t>https://www.indigenousfoodsystems.org /sites/default/files/policy_reform/pfpp-resetting-2011-lowres_1.pdf</w:t>
        </w:r>
      </w:hyperlink>
    </w:p>
    <w:p w14:paraId="627BF8A7" w14:textId="77777777" w:rsidR="00B05D78" w:rsidRDefault="00B05D78" w:rsidP="00CC70EF">
      <w:pPr>
        <w:spacing w:line="240" w:lineRule="auto"/>
        <w:rPr>
          <w:sz w:val="24"/>
          <w:szCs w:val="24"/>
        </w:rPr>
      </w:pPr>
    </w:p>
    <w:p w14:paraId="48FEF775" w14:textId="77777777" w:rsidR="00B05D78" w:rsidRDefault="00B0694D" w:rsidP="00CC70EF">
      <w:pPr>
        <w:spacing w:line="240" w:lineRule="auto"/>
        <w:rPr>
          <w:sz w:val="24"/>
          <w:szCs w:val="24"/>
        </w:rPr>
      </w:pPr>
      <w:r>
        <w:rPr>
          <w:sz w:val="24"/>
          <w:szCs w:val="24"/>
        </w:rPr>
        <w:t xml:space="preserve">Place, J. (2012). </w:t>
      </w:r>
      <w:r>
        <w:rPr>
          <w:i/>
          <w:sz w:val="24"/>
          <w:szCs w:val="24"/>
        </w:rPr>
        <w:t>The Health of Aboriginal People Residing in Urban Areas</w:t>
      </w:r>
      <w:r>
        <w:rPr>
          <w:sz w:val="24"/>
          <w:szCs w:val="24"/>
        </w:rPr>
        <w:t xml:space="preserve">. National </w:t>
      </w:r>
    </w:p>
    <w:p w14:paraId="786826B5" w14:textId="77777777" w:rsidR="00B05D78" w:rsidRDefault="00B0694D" w:rsidP="00CC70EF">
      <w:pPr>
        <w:spacing w:line="240" w:lineRule="auto"/>
        <w:ind w:left="720"/>
        <w:rPr>
          <w:sz w:val="24"/>
          <w:szCs w:val="24"/>
        </w:rPr>
      </w:pPr>
      <w:r>
        <w:rPr>
          <w:sz w:val="24"/>
          <w:szCs w:val="24"/>
        </w:rPr>
        <w:t xml:space="preserve">Collaborating Centre for Aboriginal Health. </w:t>
      </w:r>
      <w:hyperlink r:id="rId32">
        <w:r>
          <w:rPr>
            <w:color w:val="1155CC"/>
            <w:sz w:val="24"/>
            <w:szCs w:val="24"/>
            <w:u w:val="single"/>
          </w:rPr>
          <w:t>https://www.ccnsa-nccah.ca/docs/ emerging/RPT-HealthUrbanAboriginal-Place-EN.pdf</w:t>
        </w:r>
      </w:hyperlink>
    </w:p>
    <w:p w14:paraId="4EA1DA79" w14:textId="77777777" w:rsidR="00B05D78" w:rsidRDefault="00B05D78" w:rsidP="00CC70EF">
      <w:pPr>
        <w:spacing w:line="240" w:lineRule="auto"/>
        <w:rPr>
          <w:sz w:val="24"/>
          <w:szCs w:val="24"/>
        </w:rPr>
      </w:pPr>
    </w:p>
    <w:p w14:paraId="32474360" w14:textId="77777777" w:rsidR="00B05D78" w:rsidRDefault="00B0694D" w:rsidP="00CC70EF">
      <w:pPr>
        <w:spacing w:line="240" w:lineRule="auto"/>
        <w:ind w:left="720" w:hanging="720"/>
        <w:rPr>
          <w:sz w:val="24"/>
          <w:szCs w:val="24"/>
        </w:rPr>
      </w:pPr>
      <w:r>
        <w:rPr>
          <w:sz w:val="24"/>
          <w:szCs w:val="24"/>
        </w:rPr>
        <w:t xml:space="preserve">Ramsey, R., </w:t>
      </w:r>
      <w:proofErr w:type="spellStart"/>
      <w:r>
        <w:rPr>
          <w:sz w:val="24"/>
          <w:szCs w:val="24"/>
        </w:rPr>
        <w:t>Giskes</w:t>
      </w:r>
      <w:proofErr w:type="spellEnd"/>
      <w:r>
        <w:rPr>
          <w:sz w:val="24"/>
          <w:szCs w:val="24"/>
        </w:rPr>
        <w:t xml:space="preserve">, K., </w:t>
      </w:r>
      <w:proofErr w:type="spellStart"/>
      <w:r>
        <w:rPr>
          <w:sz w:val="24"/>
          <w:szCs w:val="24"/>
        </w:rPr>
        <w:t>Turrell</w:t>
      </w:r>
      <w:proofErr w:type="spellEnd"/>
      <w:r>
        <w:rPr>
          <w:sz w:val="24"/>
          <w:szCs w:val="24"/>
        </w:rPr>
        <w:t xml:space="preserve">, G., &amp; Gallegos, D. (2012). Food insecurity among adults residing in disadvantaged urban areas: Potential health and dietary consequences. </w:t>
      </w:r>
      <w:r>
        <w:rPr>
          <w:i/>
          <w:sz w:val="24"/>
          <w:szCs w:val="24"/>
        </w:rPr>
        <w:t>Public Health Nutrition</w:t>
      </w:r>
      <w:r>
        <w:rPr>
          <w:sz w:val="24"/>
          <w:szCs w:val="24"/>
        </w:rPr>
        <w:t xml:space="preserve">, </w:t>
      </w:r>
      <w:r>
        <w:rPr>
          <w:i/>
          <w:sz w:val="24"/>
          <w:szCs w:val="24"/>
        </w:rPr>
        <w:t>15</w:t>
      </w:r>
      <w:r>
        <w:rPr>
          <w:sz w:val="24"/>
          <w:szCs w:val="24"/>
        </w:rPr>
        <w:t>(2), 227-237. doi:10.1017/S136898001 1001996</w:t>
      </w:r>
    </w:p>
    <w:p w14:paraId="72F09788" w14:textId="77777777" w:rsidR="00B05D78" w:rsidRDefault="00B05D78" w:rsidP="00CC70EF">
      <w:pPr>
        <w:spacing w:line="240" w:lineRule="auto"/>
        <w:rPr>
          <w:sz w:val="24"/>
          <w:szCs w:val="24"/>
        </w:rPr>
      </w:pPr>
    </w:p>
    <w:p w14:paraId="12F23E8F" w14:textId="77777777" w:rsidR="00CC70EF" w:rsidRDefault="00B0694D" w:rsidP="00CC70EF">
      <w:pPr>
        <w:spacing w:line="240" w:lineRule="auto"/>
        <w:rPr>
          <w:sz w:val="24"/>
          <w:szCs w:val="24"/>
          <w:highlight w:val="white"/>
        </w:rPr>
      </w:pPr>
      <w:r>
        <w:rPr>
          <w:sz w:val="24"/>
          <w:szCs w:val="24"/>
          <w:highlight w:val="white"/>
        </w:rPr>
        <w:lastRenderedPageBreak/>
        <w:t xml:space="preserve">Richmond, C., </w:t>
      </w:r>
      <w:proofErr w:type="spellStart"/>
      <w:r>
        <w:rPr>
          <w:sz w:val="24"/>
          <w:szCs w:val="24"/>
          <w:highlight w:val="white"/>
        </w:rPr>
        <w:t>Steckley</w:t>
      </w:r>
      <w:proofErr w:type="spellEnd"/>
      <w:r>
        <w:rPr>
          <w:sz w:val="24"/>
          <w:szCs w:val="24"/>
          <w:highlight w:val="white"/>
        </w:rPr>
        <w:t xml:space="preserve">, M., Neufeld, H., Kerr, R. B., Wilson, K., &amp; </w:t>
      </w:r>
      <w:proofErr w:type="spellStart"/>
      <w:r>
        <w:rPr>
          <w:sz w:val="24"/>
          <w:szCs w:val="24"/>
          <w:highlight w:val="white"/>
        </w:rPr>
        <w:t>Dokis</w:t>
      </w:r>
      <w:proofErr w:type="spellEnd"/>
      <w:r>
        <w:rPr>
          <w:sz w:val="24"/>
          <w:szCs w:val="24"/>
          <w:highlight w:val="white"/>
        </w:rPr>
        <w:t>, B. (2020).</w:t>
      </w:r>
    </w:p>
    <w:p w14:paraId="7256BB0E" w14:textId="77777777" w:rsidR="00CC70EF" w:rsidRDefault="00B0694D" w:rsidP="00CC70EF">
      <w:pPr>
        <w:spacing w:line="240" w:lineRule="auto"/>
        <w:ind w:firstLine="720"/>
        <w:rPr>
          <w:sz w:val="24"/>
          <w:szCs w:val="24"/>
          <w:highlight w:val="white"/>
        </w:rPr>
      </w:pPr>
      <w:r>
        <w:rPr>
          <w:sz w:val="24"/>
          <w:szCs w:val="24"/>
          <w:highlight w:val="white"/>
        </w:rPr>
        <w:t>First Nations food environments: Exploring the role of place, income, and social</w:t>
      </w:r>
    </w:p>
    <w:p w14:paraId="0452F064" w14:textId="77777777" w:rsidR="00B05D78" w:rsidRDefault="00B0694D" w:rsidP="00CC70EF">
      <w:pPr>
        <w:spacing w:line="240" w:lineRule="auto"/>
        <w:ind w:firstLine="720"/>
        <w:rPr>
          <w:sz w:val="24"/>
          <w:szCs w:val="24"/>
          <w:highlight w:val="white"/>
        </w:rPr>
      </w:pPr>
      <w:r>
        <w:rPr>
          <w:sz w:val="24"/>
          <w:szCs w:val="24"/>
          <w:highlight w:val="white"/>
        </w:rPr>
        <w:t xml:space="preserve">connection. </w:t>
      </w:r>
      <w:r>
        <w:rPr>
          <w:i/>
          <w:sz w:val="24"/>
          <w:szCs w:val="24"/>
          <w:highlight w:val="white"/>
        </w:rPr>
        <w:t>Current Developments in Nutrition</w:t>
      </w:r>
      <w:r>
        <w:rPr>
          <w:sz w:val="24"/>
          <w:szCs w:val="24"/>
          <w:highlight w:val="white"/>
        </w:rPr>
        <w:t xml:space="preserve">, </w:t>
      </w:r>
      <w:r>
        <w:rPr>
          <w:i/>
          <w:sz w:val="24"/>
          <w:szCs w:val="24"/>
          <w:highlight w:val="white"/>
        </w:rPr>
        <w:t>4</w:t>
      </w:r>
      <w:r>
        <w:rPr>
          <w:sz w:val="24"/>
          <w:szCs w:val="24"/>
          <w:highlight w:val="white"/>
        </w:rPr>
        <w:t>(8)</w:t>
      </w:r>
      <w:r w:rsidR="00CC70EF">
        <w:rPr>
          <w:sz w:val="24"/>
          <w:szCs w:val="24"/>
          <w:highlight w:val="white"/>
        </w:rPr>
        <w:t xml:space="preserve">, </w:t>
      </w:r>
      <w:r>
        <w:rPr>
          <w:sz w:val="24"/>
          <w:szCs w:val="24"/>
          <w:highlight w:val="white"/>
        </w:rPr>
        <w:t>1.</w:t>
      </w:r>
      <w:r w:rsidR="00CC70EF">
        <w:rPr>
          <w:sz w:val="24"/>
          <w:szCs w:val="24"/>
          <w:highlight w:val="white"/>
        </w:rPr>
        <w:t xml:space="preserve"> </w:t>
      </w:r>
      <w:proofErr w:type="spellStart"/>
      <w:r>
        <w:rPr>
          <w:sz w:val="24"/>
          <w:szCs w:val="24"/>
          <w:highlight w:val="white"/>
        </w:rPr>
        <w:t>doi</w:t>
      </w:r>
      <w:proofErr w:type="spellEnd"/>
      <w:r>
        <w:rPr>
          <w:sz w:val="24"/>
          <w:szCs w:val="24"/>
          <w:highlight w:val="white"/>
        </w:rPr>
        <w:t>: 10.1093/</w:t>
      </w:r>
      <w:proofErr w:type="spellStart"/>
      <w:r>
        <w:rPr>
          <w:sz w:val="24"/>
          <w:szCs w:val="24"/>
          <w:highlight w:val="white"/>
        </w:rPr>
        <w:t>cdn</w:t>
      </w:r>
      <w:proofErr w:type="spellEnd"/>
      <w:r>
        <w:rPr>
          <w:sz w:val="24"/>
          <w:szCs w:val="24"/>
          <w:highlight w:val="white"/>
        </w:rPr>
        <w:t>/nzaa108</w:t>
      </w:r>
    </w:p>
    <w:p w14:paraId="7CDCD9CE" w14:textId="77777777" w:rsidR="00B05D78" w:rsidRDefault="00B05D78" w:rsidP="00CC70EF">
      <w:pPr>
        <w:spacing w:line="240" w:lineRule="auto"/>
        <w:ind w:left="720"/>
        <w:rPr>
          <w:sz w:val="24"/>
          <w:szCs w:val="24"/>
          <w:highlight w:val="white"/>
        </w:rPr>
      </w:pPr>
    </w:p>
    <w:p w14:paraId="3F9CBDDB" w14:textId="77777777" w:rsidR="00B05D78" w:rsidRDefault="00B0694D" w:rsidP="00CC70EF">
      <w:pPr>
        <w:spacing w:line="240" w:lineRule="auto"/>
        <w:rPr>
          <w:sz w:val="24"/>
          <w:szCs w:val="24"/>
          <w:highlight w:val="white"/>
        </w:rPr>
      </w:pPr>
      <w:r>
        <w:rPr>
          <w:sz w:val="24"/>
          <w:szCs w:val="24"/>
          <w:highlight w:val="white"/>
        </w:rPr>
        <w:t xml:space="preserve">Robinson, A. (2018, November 6). </w:t>
      </w:r>
      <w:r>
        <w:rPr>
          <w:i/>
          <w:sz w:val="24"/>
          <w:szCs w:val="24"/>
          <w:highlight w:val="white"/>
        </w:rPr>
        <w:t>Chief</w:t>
      </w:r>
      <w:r>
        <w:rPr>
          <w:sz w:val="24"/>
          <w:szCs w:val="24"/>
          <w:highlight w:val="white"/>
        </w:rPr>
        <w:t>. The Canadian Encyclopedia.</w:t>
      </w:r>
    </w:p>
    <w:p w14:paraId="7B2C4482" w14:textId="77777777" w:rsidR="00B05D78" w:rsidRDefault="00A123AB" w:rsidP="00CC70EF">
      <w:pPr>
        <w:spacing w:line="240" w:lineRule="auto"/>
        <w:ind w:left="720"/>
        <w:rPr>
          <w:sz w:val="24"/>
          <w:szCs w:val="24"/>
          <w:highlight w:val="white"/>
        </w:rPr>
      </w:pPr>
      <w:hyperlink r:id="rId33" w:anchor=":~:text=Canada%20%2F%20PA%2D125840-,Definition,of%20authority%20in%20their%20communities">
        <w:r w:rsidR="00B0694D">
          <w:rPr>
            <w:color w:val="1155CC"/>
            <w:sz w:val="24"/>
            <w:szCs w:val="24"/>
            <w:highlight w:val="white"/>
            <w:u w:val="single"/>
          </w:rPr>
          <w:t>https://www.thecanadianencyclopedia.ca/en/article/chief#:~:text=Canada%20%2F%20PA%2D125840-,</w:t>
        </w:r>
      </w:hyperlink>
      <w:hyperlink r:id="rId34" w:anchor=":~:text=Canada%20%2F%20PA%2D125840-,Definition,of%20authority%20in%20their%20communities">
        <w:r w:rsidR="00B0694D">
          <w:rPr>
            <w:color w:val="1155CC"/>
            <w:sz w:val="24"/>
            <w:szCs w:val="24"/>
            <w:highlight w:val="white"/>
            <w:u w:val="single"/>
          </w:rPr>
          <w:t>Definition,of%20authority%20in%20their%20communities</w:t>
        </w:r>
      </w:hyperlink>
      <w:r w:rsidR="00B0694D">
        <w:rPr>
          <w:sz w:val="24"/>
          <w:szCs w:val="24"/>
          <w:highlight w:val="white"/>
        </w:rPr>
        <w:t xml:space="preserve">. </w:t>
      </w:r>
    </w:p>
    <w:p w14:paraId="6C4D3A24" w14:textId="77777777" w:rsidR="00B05D78" w:rsidRDefault="00B05D78" w:rsidP="00CC70EF">
      <w:pPr>
        <w:spacing w:line="240" w:lineRule="auto"/>
        <w:rPr>
          <w:sz w:val="24"/>
          <w:szCs w:val="24"/>
          <w:highlight w:val="white"/>
        </w:rPr>
      </w:pPr>
    </w:p>
    <w:p w14:paraId="69BC6E49" w14:textId="77777777" w:rsidR="00B05D78" w:rsidRDefault="00B0694D" w:rsidP="00CC70EF">
      <w:pPr>
        <w:spacing w:line="240" w:lineRule="auto"/>
        <w:rPr>
          <w:sz w:val="24"/>
          <w:szCs w:val="24"/>
          <w:highlight w:val="white"/>
        </w:rPr>
      </w:pPr>
      <w:r>
        <w:rPr>
          <w:sz w:val="24"/>
          <w:szCs w:val="24"/>
          <w:highlight w:val="white"/>
        </w:rPr>
        <w:t xml:space="preserve">Skinner, K., Pratley, E., &amp; Burnett, K. (2016). Eating in the city: A review of the literature </w:t>
      </w:r>
    </w:p>
    <w:p w14:paraId="7CDFE66B" w14:textId="77777777" w:rsidR="00B05D78" w:rsidRDefault="00B0694D" w:rsidP="00CC70EF">
      <w:pPr>
        <w:spacing w:line="240" w:lineRule="auto"/>
        <w:ind w:left="720"/>
        <w:rPr>
          <w:sz w:val="24"/>
          <w:szCs w:val="24"/>
          <w:highlight w:val="white"/>
        </w:rPr>
      </w:pPr>
      <w:r>
        <w:rPr>
          <w:sz w:val="24"/>
          <w:szCs w:val="24"/>
          <w:highlight w:val="white"/>
        </w:rPr>
        <w:t xml:space="preserve">on food insecurity and Indigenous people living in urban spaces. </w:t>
      </w:r>
      <w:r>
        <w:rPr>
          <w:i/>
          <w:sz w:val="24"/>
          <w:szCs w:val="24"/>
        </w:rPr>
        <w:t>Societies</w:t>
      </w:r>
      <w:r>
        <w:rPr>
          <w:sz w:val="24"/>
          <w:szCs w:val="24"/>
        </w:rPr>
        <w:t xml:space="preserve">, </w:t>
      </w:r>
      <w:r>
        <w:rPr>
          <w:i/>
          <w:sz w:val="24"/>
          <w:szCs w:val="24"/>
        </w:rPr>
        <w:t>6</w:t>
      </w:r>
      <w:r>
        <w:rPr>
          <w:sz w:val="24"/>
          <w:szCs w:val="24"/>
        </w:rPr>
        <w:t>(2), 7. doi:</w:t>
      </w:r>
      <w:r>
        <w:rPr>
          <w:sz w:val="24"/>
          <w:szCs w:val="24"/>
          <w:highlight w:val="white"/>
        </w:rPr>
        <w:t>10.3390/soc6020007</w:t>
      </w:r>
    </w:p>
    <w:p w14:paraId="34979966" w14:textId="77777777" w:rsidR="00B05D78" w:rsidRDefault="00B05D78" w:rsidP="00CC70EF">
      <w:pPr>
        <w:spacing w:line="240" w:lineRule="auto"/>
        <w:rPr>
          <w:sz w:val="24"/>
          <w:szCs w:val="24"/>
          <w:highlight w:val="white"/>
        </w:rPr>
      </w:pPr>
    </w:p>
    <w:p w14:paraId="36E4A1B7" w14:textId="77777777" w:rsidR="00B05D78" w:rsidRDefault="00B0694D" w:rsidP="00CC70EF">
      <w:pPr>
        <w:spacing w:line="240" w:lineRule="auto"/>
        <w:rPr>
          <w:sz w:val="24"/>
          <w:szCs w:val="24"/>
          <w:highlight w:val="white"/>
        </w:rPr>
      </w:pPr>
      <w:r>
        <w:rPr>
          <w:sz w:val="24"/>
          <w:szCs w:val="24"/>
          <w:highlight w:val="white"/>
        </w:rPr>
        <w:t xml:space="preserve">St-Germain, A. A. F., Galloway, T., &amp; </w:t>
      </w:r>
      <w:proofErr w:type="spellStart"/>
      <w:r>
        <w:rPr>
          <w:sz w:val="24"/>
          <w:szCs w:val="24"/>
          <w:highlight w:val="white"/>
        </w:rPr>
        <w:t>Tarasuk</w:t>
      </w:r>
      <w:proofErr w:type="spellEnd"/>
      <w:r>
        <w:rPr>
          <w:sz w:val="24"/>
          <w:szCs w:val="24"/>
          <w:highlight w:val="white"/>
        </w:rPr>
        <w:t xml:space="preserve">, V. (2019). Food insecurity in Nunavut </w:t>
      </w:r>
    </w:p>
    <w:p w14:paraId="7C1CC424" w14:textId="77777777" w:rsidR="00B05D78" w:rsidRDefault="00B0694D" w:rsidP="00CC70EF">
      <w:pPr>
        <w:spacing w:line="240" w:lineRule="auto"/>
        <w:ind w:left="720"/>
        <w:rPr>
          <w:sz w:val="24"/>
          <w:szCs w:val="24"/>
          <w:highlight w:val="white"/>
        </w:rPr>
      </w:pPr>
      <w:r>
        <w:rPr>
          <w:sz w:val="24"/>
          <w:szCs w:val="24"/>
          <w:highlight w:val="white"/>
        </w:rPr>
        <w:t xml:space="preserve">following the introduction of Nutrition North Canada. </w:t>
      </w:r>
      <w:r>
        <w:rPr>
          <w:i/>
          <w:sz w:val="24"/>
          <w:szCs w:val="24"/>
          <w:highlight w:val="white"/>
        </w:rPr>
        <w:t>Canadian Medical Association Journal</w:t>
      </w:r>
      <w:r>
        <w:rPr>
          <w:sz w:val="24"/>
          <w:szCs w:val="24"/>
          <w:highlight w:val="white"/>
        </w:rPr>
        <w:t xml:space="preserve">, </w:t>
      </w:r>
      <w:r>
        <w:rPr>
          <w:i/>
          <w:sz w:val="24"/>
          <w:szCs w:val="24"/>
          <w:highlight w:val="white"/>
        </w:rPr>
        <w:t>191</w:t>
      </w:r>
      <w:r>
        <w:rPr>
          <w:sz w:val="24"/>
          <w:szCs w:val="24"/>
          <w:highlight w:val="white"/>
        </w:rPr>
        <w:t>(20), E552-E558. doi:10.1503/cmaj.181617</w:t>
      </w:r>
    </w:p>
    <w:p w14:paraId="769D9109" w14:textId="77777777" w:rsidR="00B05D78" w:rsidRDefault="00B05D78" w:rsidP="00CC70EF">
      <w:pPr>
        <w:spacing w:line="240" w:lineRule="auto"/>
        <w:ind w:left="720"/>
        <w:rPr>
          <w:sz w:val="24"/>
          <w:szCs w:val="24"/>
          <w:highlight w:val="white"/>
        </w:rPr>
      </w:pPr>
    </w:p>
    <w:p w14:paraId="15D1FF22" w14:textId="77777777" w:rsidR="00B05D78" w:rsidRDefault="00B0694D" w:rsidP="00CC70EF">
      <w:pPr>
        <w:spacing w:line="240" w:lineRule="auto"/>
        <w:rPr>
          <w:sz w:val="24"/>
          <w:szCs w:val="24"/>
        </w:rPr>
      </w:pPr>
      <w:proofErr w:type="spellStart"/>
      <w:r>
        <w:rPr>
          <w:sz w:val="24"/>
          <w:szCs w:val="24"/>
        </w:rPr>
        <w:t>Stiegelbauer</w:t>
      </w:r>
      <w:proofErr w:type="spellEnd"/>
      <w:r>
        <w:rPr>
          <w:sz w:val="24"/>
          <w:szCs w:val="24"/>
        </w:rPr>
        <w:t>, S. M. (1996). What is an Elder? What do Elders do? First nation Elders as</w:t>
      </w:r>
    </w:p>
    <w:p w14:paraId="34356E61" w14:textId="77777777" w:rsidR="00B05D78" w:rsidRDefault="00B0694D" w:rsidP="00CC70EF">
      <w:pPr>
        <w:spacing w:line="240" w:lineRule="auto"/>
        <w:ind w:left="720"/>
        <w:rPr>
          <w:sz w:val="24"/>
          <w:szCs w:val="24"/>
          <w:highlight w:val="white"/>
        </w:rPr>
      </w:pPr>
      <w:r>
        <w:rPr>
          <w:sz w:val="24"/>
          <w:szCs w:val="24"/>
        </w:rPr>
        <w:t xml:space="preserve">teachers in culture-based urban organizations. </w:t>
      </w:r>
      <w:r>
        <w:rPr>
          <w:i/>
          <w:sz w:val="24"/>
          <w:szCs w:val="24"/>
        </w:rPr>
        <w:t>Canadian Journal of Native Studies</w:t>
      </w:r>
      <w:r>
        <w:rPr>
          <w:sz w:val="24"/>
          <w:szCs w:val="24"/>
        </w:rPr>
        <w:t xml:space="preserve">, </w:t>
      </w:r>
      <w:r>
        <w:rPr>
          <w:i/>
          <w:sz w:val="24"/>
          <w:szCs w:val="24"/>
        </w:rPr>
        <w:t>16</w:t>
      </w:r>
      <w:r>
        <w:rPr>
          <w:sz w:val="24"/>
          <w:szCs w:val="24"/>
        </w:rPr>
        <w:t xml:space="preserve">(1), 37-66. Retrieved April 24, 2021, from </w:t>
      </w:r>
      <w:hyperlink r:id="rId35">
        <w:r>
          <w:rPr>
            <w:color w:val="1155CC"/>
            <w:sz w:val="24"/>
            <w:szCs w:val="24"/>
            <w:u w:val="single"/>
          </w:rPr>
          <w:t>http://www3.brandonu.ca/cjns/16.1/Stiegelbauer.pdf</w:t>
        </w:r>
      </w:hyperlink>
    </w:p>
    <w:p w14:paraId="00D84D78" w14:textId="77777777" w:rsidR="00B05D78" w:rsidRDefault="00B05D78" w:rsidP="00CC70EF">
      <w:pPr>
        <w:spacing w:line="240" w:lineRule="auto"/>
        <w:ind w:left="720"/>
        <w:rPr>
          <w:sz w:val="24"/>
          <w:szCs w:val="24"/>
          <w:highlight w:val="white"/>
        </w:rPr>
      </w:pPr>
    </w:p>
    <w:p w14:paraId="052099FD" w14:textId="77777777" w:rsidR="00B05D78" w:rsidRDefault="00B0694D" w:rsidP="00CC70EF">
      <w:pPr>
        <w:spacing w:line="240" w:lineRule="auto"/>
        <w:rPr>
          <w:sz w:val="24"/>
          <w:szCs w:val="24"/>
        </w:rPr>
      </w:pPr>
      <w:proofErr w:type="spellStart"/>
      <w:r>
        <w:rPr>
          <w:sz w:val="24"/>
          <w:szCs w:val="24"/>
        </w:rPr>
        <w:t>Tachine</w:t>
      </w:r>
      <w:proofErr w:type="spellEnd"/>
      <w:r>
        <w:rPr>
          <w:sz w:val="24"/>
          <w:szCs w:val="24"/>
        </w:rPr>
        <w:t xml:space="preserve">, A. R., Bird, E. Y., &amp; Cabrera, N. L. (2016). Sharing circles, an Indigenous </w:t>
      </w:r>
    </w:p>
    <w:p w14:paraId="4EC02486" w14:textId="77777777" w:rsidR="00B05D78" w:rsidRDefault="00B0694D" w:rsidP="00CC70EF">
      <w:pPr>
        <w:spacing w:line="240" w:lineRule="auto"/>
        <w:ind w:left="720"/>
        <w:rPr>
          <w:sz w:val="24"/>
          <w:szCs w:val="24"/>
          <w:highlight w:val="white"/>
        </w:rPr>
      </w:pPr>
      <w:r>
        <w:rPr>
          <w:sz w:val="24"/>
          <w:szCs w:val="24"/>
        </w:rPr>
        <w:t xml:space="preserve">methodological approach for researching with groups of Indigenous Peoples. </w:t>
      </w:r>
      <w:r>
        <w:rPr>
          <w:i/>
          <w:sz w:val="24"/>
          <w:szCs w:val="24"/>
        </w:rPr>
        <w:t>International Review of Qualitative Research</w:t>
      </w:r>
      <w:r>
        <w:rPr>
          <w:sz w:val="24"/>
          <w:szCs w:val="24"/>
        </w:rPr>
        <w:t xml:space="preserve">, </w:t>
      </w:r>
      <w:r>
        <w:rPr>
          <w:i/>
          <w:sz w:val="24"/>
          <w:szCs w:val="24"/>
        </w:rPr>
        <w:t>9</w:t>
      </w:r>
      <w:r>
        <w:rPr>
          <w:sz w:val="24"/>
          <w:szCs w:val="24"/>
        </w:rPr>
        <w:t>(3), 277-295. doi:10.1525/irqr.2016.9.3.277.</w:t>
      </w:r>
    </w:p>
    <w:p w14:paraId="3C46150F" w14:textId="77777777" w:rsidR="00B05D78" w:rsidRDefault="00B05D78" w:rsidP="00CC70EF">
      <w:pPr>
        <w:spacing w:line="240" w:lineRule="auto"/>
        <w:ind w:left="720"/>
        <w:rPr>
          <w:sz w:val="24"/>
          <w:szCs w:val="24"/>
          <w:highlight w:val="white"/>
        </w:rPr>
      </w:pPr>
    </w:p>
    <w:p w14:paraId="67A2BC02" w14:textId="77777777" w:rsidR="00B05D78" w:rsidRDefault="00B0694D" w:rsidP="00CC70EF">
      <w:pPr>
        <w:spacing w:line="240" w:lineRule="auto"/>
        <w:rPr>
          <w:sz w:val="24"/>
          <w:szCs w:val="24"/>
        </w:rPr>
      </w:pPr>
      <w:proofErr w:type="spellStart"/>
      <w:r>
        <w:rPr>
          <w:sz w:val="24"/>
          <w:szCs w:val="24"/>
        </w:rPr>
        <w:t>Tarasuk</w:t>
      </w:r>
      <w:proofErr w:type="spellEnd"/>
      <w:r>
        <w:rPr>
          <w:sz w:val="24"/>
          <w:szCs w:val="24"/>
        </w:rPr>
        <w:t xml:space="preserve">, V. &amp; </w:t>
      </w:r>
      <w:proofErr w:type="spellStart"/>
      <w:r>
        <w:rPr>
          <w:sz w:val="24"/>
          <w:szCs w:val="24"/>
        </w:rPr>
        <w:t>Dachner</w:t>
      </w:r>
      <w:proofErr w:type="spellEnd"/>
      <w:r>
        <w:rPr>
          <w:sz w:val="24"/>
          <w:szCs w:val="24"/>
        </w:rPr>
        <w:t xml:space="preserve">, N. (2009). The proliferation of charitable meal programs in </w:t>
      </w:r>
    </w:p>
    <w:p w14:paraId="69139794" w14:textId="77777777" w:rsidR="00B05D78" w:rsidRDefault="00B0694D" w:rsidP="00CC70EF">
      <w:pPr>
        <w:spacing w:line="240" w:lineRule="auto"/>
        <w:ind w:firstLine="720"/>
        <w:rPr>
          <w:sz w:val="24"/>
          <w:szCs w:val="24"/>
          <w:highlight w:val="white"/>
        </w:rPr>
      </w:pPr>
      <w:r>
        <w:rPr>
          <w:sz w:val="24"/>
          <w:szCs w:val="24"/>
        </w:rPr>
        <w:t xml:space="preserve">Toronto. </w:t>
      </w:r>
      <w:r>
        <w:rPr>
          <w:i/>
          <w:sz w:val="24"/>
          <w:szCs w:val="24"/>
        </w:rPr>
        <w:t>Canadian Public Policy, 35</w:t>
      </w:r>
      <w:r>
        <w:rPr>
          <w:sz w:val="24"/>
          <w:szCs w:val="24"/>
        </w:rPr>
        <w:t>(4), 433-50. doi:</w:t>
      </w:r>
      <w:r>
        <w:rPr>
          <w:sz w:val="24"/>
          <w:szCs w:val="24"/>
          <w:highlight w:val="white"/>
        </w:rPr>
        <w:t>10.3138/cpp.35.4.433</w:t>
      </w:r>
    </w:p>
    <w:p w14:paraId="2FAAF676" w14:textId="77777777" w:rsidR="00B05D78" w:rsidRDefault="00B05D78" w:rsidP="00CC70EF">
      <w:pPr>
        <w:spacing w:line="240" w:lineRule="auto"/>
        <w:rPr>
          <w:sz w:val="24"/>
          <w:szCs w:val="24"/>
          <w:highlight w:val="white"/>
        </w:rPr>
      </w:pPr>
    </w:p>
    <w:p w14:paraId="4CBDE3B5" w14:textId="77777777" w:rsidR="00B05D78" w:rsidRDefault="00B0694D" w:rsidP="00CC70EF">
      <w:pPr>
        <w:spacing w:line="240" w:lineRule="auto"/>
        <w:rPr>
          <w:sz w:val="24"/>
          <w:szCs w:val="24"/>
          <w:highlight w:val="white"/>
        </w:rPr>
      </w:pPr>
      <w:proofErr w:type="spellStart"/>
      <w:r>
        <w:rPr>
          <w:sz w:val="24"/>
          <w:szCs w:val="24"/>
          <w:highlight w:val="white"/>
        </w:rPr>
        <w:t>Tarasuk</w:t>
      </w:r>
      <w:proofErr w:type="spellEnd"/>
      <w:r>
        <w:rPr>
          <w:sz w:val="24"/>
          <w:szCs w:val="24"/>
          <w:highlight w:val="white"/>
        </w:rPr>
        <w:t xml:space="preserve">, V., St-Germain, A. A. F., &amp; </w:t>
      </w:r>
      <w:proofErr w:type="spellStart"/>
      <w:r>
        <w:rPr>
          <w:sz w:val="24"/>
          <w:szCs w:val="24"/>
          <w:highlight w:val="white"/>
        </w:rPr>
        <w:t>Loopstra</w:t>
      </w:r>
      <w:proofErr w:type="spellEnd"/>
      <w:r>
        <w:rPr>
          <w:sz w:val="24"/>
          <w:szCs w:val="24"/>
          <w:highlight w:val="white"/>
        </w:rPr>
        <w:t xml:space="preserve">, R. (2020). The relationship between food </w:t>
      </w:r>
    </w:p>
    <w:p w14:paraId="2BD5849A" w14:textId="77777777" w:rsidR="00B05D78" w:rsidRDefault="00B0694D" w:rsidP="00CC70EF">
      <w:pPr>
        <w:spacing w:line="240" w:lineRule="auto"/>
        <w:ind w:left="720"/>
        <w:rPr>
          <w:sz w:val="24"/>
          <w:szCs w:val="24"/>
          <w:highlight w:val="white"/>
        </w:rPr>
      </w:pPr>
      <w:r>
        <w:rPr>
          <w:sz w:val="24"/>
          <w:szCs w:val="24"/>
          <w:highlight w:val="white"/>
        </w:rPr>
        <w:t xml:space="preserve">banks and food insecurity: insights from Canada. </w:t>
      </w:r>
      <w:r>
        <w:rPr>
          <w:i/>
          <w:sz w:val="24"/>
          <w:szCs w:val="24"/>
          <w:highlight w:val="white"/>
        </w:rPr>
        <w:t>VOLUNTAS: International Journal of Voluntary and Nonprofit Organizations</w:t>
      </w:r>
      <w:r>
        <w:rPr>
          <w:sz w:val="24"/>
          <w:szCs w:val="24"/>
          <w:highlight w:val="white"/>
        </w:rPr>
        <w:t xml:space="preserve">, </w:t>
      </w:r>
      <w:r>
        <w:rPr>
          <w:i/>
          <w:sz w:val="24"/>
          <w:szCs w:val="24"/>
          <w:highlight w:val="white"/>
        </w:rPr>
        <w:t>31</w:t>
      </w:r>
      <w:r>
        <w:rPr>
          <w:sz w:val="24"/>
          <w:szCs w:val="24"/>
          <w:highlight w:val="white"/>
        </w:rPr>
        <w:t>(5), 841-852. doi:10.1007/s1 1266-019-00092-w</w:t>
      </w:r>
    </w:p>
    <w:p w14:paraId="394CC65C" w14:textId="77777777" w:rsidR="00B05D78" w:rsidRDefault="00B05D78" w:rsidP="00CC70EF">
      <w:pPr>
        <w:spacing w:line="240" w:lineRule="auto"/>
        <w:rPr>
          <w:sz w:val="24"/>
          <w:szCs w:val="24"/>
          <w:highlight w:val="white"/>
        </w:rPr>
      </w:pPr>
    </w:p>
    <w:p w14:paraId="51629D06" w14:textId="77777777" w:rsidR="00B05D78" w:rsidRDefault="00B0694D" w:rsidP="00CC70EF">
      <w:pPr>
        <w:spacing w:line="240" w:lineRule="auto"/>
        <w:rPr>
          <w:sz w:val="24"/>
          <w:szCs w:val="24"/>
        </w:rPr>
      </w:pPr>
      <w:proofErr w:type="spellStart"/>
      <w:r>
        <w:rPr>
          <w:sz w:val="24"/>
          <w:szCs w:val="24"/>
        </w:rPr>
        <w:t>Tarasuk</w:t>
      </w:r>
      <w:proofErr w:type="spellEnd"/>
      <w:r>
        <w:rPr>
          <w:sz w:val="24"/>
          <w:szCs w:val="24"/>
        </w:rPr>
        <w:t xml:space="preserve">, V., &amp; Mitchell, A. (2020). Household food insecurity in Canada, 2017-18. </w:t>
      </w:r>
    </w:p>
    <w:p w14:paraId="4F2ED4B5" w14:textId="77777777" w:rsidR="00B05D78" w:rsidRDefault="00B0694D" w:rsidP="00CC70EF">
      <w:pPr>
        <w:spacing w:line="240" w:lineRule="auto"/>
        <w:ind w:left="720"/>
        <w:rPr>
          <w:sz w:val="24"/>
          <w:szCs w:val="24"/>
          <w:highlight w:val="white"/>
        </w:rPr>
      </w:pPr>
      <w:r>
        <w:rPr>
          <w:sz w:val="24"/>
          <w:szCs w:val="24"/>
        </w:rPr>
        <w:t xml:space="preserve">Toronto: Research to identify policy options to reduce food insecurity (PROOF). </w:t>
      </w:r>
      <w:hyperlink r:id="rId36">
        <w:r>
          <w:rPr>
            <w:color w:val="1155CC"/>
            <w:sz w:val="24"/>
            <w:szCs w:val="24"/>
            <w:u w:val="single"/>
          </w:rPr>
          <w:t>https://proof.utoronto.ca/resources/proof-annual-reports/household-food-insecurity-in-canada-2017-2018/</w:t>
        </w:r>
      </w:hyperlink>
    </w:p>
    <w:p w14:paraId="52A30250" w14:textId="77777777" w:rsidR="00B05D78" w:rsidRDefault="00B05D78" w:rsidP="00CC70EF">
      <w:pPr>
        <w:spacing w:line="240" w:lineRule="auto"/>
        <w:rPr>
          <w:sz w:val="24"/>
          <w:szCs w:val="24"/>
          <w:highlight w:val="white"/>
        </w:rPr>
      </w:pPr>
    </w:p>
    <w:p w14:paraId="529C99BE" w14:textId="77777777" w:rsidR="00B05D78" w:rsidRDefault="00B0694D" w:rsidP="00CC70EF">
      <w:pPr>
        <w:spacing w:line="240" w:lineRule="auto"/>
        <w:ind w:left="720" w:hanging="720"/>
        <w:rPr>
          <w:sz w:val="24"/>
          <w:szCs w:val="24"/>
        </w:rPr>
      </w:pPr>
      <w:r>
        <w:rPr>
          <w:sz w:val="24"/>
          <w:szCs w:val="24"/>
          <w:highlight w:val="white"/>
        </w:rPr>
        <w:t xml:space="preserve">Willows, N., </w:t>
      </w:r>
      <w:proofErr w:type="spellStart"/>
      <w:r>
        <w:rPr>
          <w:sz w:val="24"/>
          <w:szCs w:val="24"/>
          <w:highlight w:val="white"/>
        </w:rPr>
        <w:t>Veugelers</w:t>
      </w:r>
      <w:proofErr w:type="spellEnd"/>
      <w:r>
        <w:rPr>
          <w:sz w:val="24"/>
          <w:szCs w:val="24"/>
          <w:highlight w:val="white"/>
        </w:rPr>
        <w:t xml:space="preserve">, P., Kim, R., &amp; </w:t>
      </w:r>
      <w:proofErr w:type="spellStart"/>
      <w:r>
        <w:rPr>
          <w:sz w:val="24"/>
          <w:szCs w:val="24"/>
          <w:highlight w:val="white"/>
        </w:rPr>
        <w:t>Kuhle</w:t>
      </w:r>
      <w:proofErr w:type="spellEnd"/>
      <w:r>
        <w:rPr>
          <w:sz w:val="24"/>
          <w:szCs w:val="24"/>
          <w:highlight w:val="white"/>
        </w:rPr>
        <w:t xml:space="preserve">, S. (2011). Associations between household food insecurity and health outcomes in the Aboriginal population (excluding reserves). </w:t>
      </w:r>
      <w:r>
        <w:rPr>
          <w:i/>
          <w:sz w:val="24"/>
          <w:szCs w:val="24"/>
          <w:highlight w:val="white"/>
        </w:rPr>
        <w:t>Health Reports</w:t>
      </w:r>
      <w:r>
        <w:rPr>
          <w:sz w:val="24"/>
          <w:szCs w:val="24"/>
          <w:highlight w:val="white"/>
        </w:rPr>
        <w:t xml:space="preserve">, </w:t>
      </w:r>
      <w:r>
        <w:rPr>
          <w:i/>
          <w:sz w:val="24"/>
          <w:szCs w:val="24"/>
          <w:highlight w:val="white"/>
        </w:rPr>
        <w:t>22</w:t>
      </w:r>
      <w:r>
        <w:rPr>
          <w:sz w:val="24"/>
          <w:szCs w:val="24"/>
          <w:highlight w:val="white"/>
        </w:rPr>
        <w:t xml:space="preserve">(2), 15-20. </w:t>
      </w:r>
      <w:r>
        <w:rPr>
          <w:sz w:val="24"/>
          <w:szCs w:val="24"/>
        </w:rPr>
        <w:t xml:space="preserve">Retrieved March 26, 2021, from </w:t>
      </w:r>
      <w:hyperlink r:id="rId37">
        <w:r>
          <w:rPr>
            <w:color w:val="1155CC"/>
            <w:sz w:val="24"/>
            <w:szCs w:val="24"/>
            <w:u w:val="single"/>
          </w:rPr>
          <w:t>https://ezproxy.library.ubc.ca/login?url=https://www-proquest-com.ezproxy.library.ubc.ca/scholarly-journals/associations-between-household-food-insecurity/docview/903972820/se-2?accountid=14656</w:t>
        </w:r>
      </w:hyperlink>
    </w:p>
    <w:p w14:paraId="5CC2F054" w14:textId="77777777" w:rsidR="00B05D78" w:rsidRDefault="00B05D78" w:rsidP="00CC70EF">
      <w:pPr>
        <w:spacing w:line="240" w:lineRule="auto"/>
        <w:rPr>
          <w:sz w:val="24"/>
          <w:szCs w:val="24"/>
          <w:highlight w:val="white"/>
        </w:rPr>
      </w:pPr>
    </w:p>
    <w:p w14:paraId="3D8AAC58" w14:textId="77777777" w:rsidR="00B05D78" w:rsidRDefault="00B0694D" w:rsidP="00CC70EF">
      <w:pPr>
        <w:pStyle w:val="Title"/>
        <w:spacing w:after="0" w:line="240" w:lineRule="auto"/>
        <w:rPr>
          <w:sz w:val="24"/>
          <w:szCs w:val="24"/>
        </w:rPr>
      </w:pPr>
      <w:bookmarkStart w:id="0" w:name="_nlyopwvp58ki" w:colFirst="0" w:colLast="0"/>
      <w:bookmarkEnd w:id="0"/>
      <w:r>
        <w:rPr>
          <w:b/>
          <w:sz w:val="24"/>
          <w:szCs w:val="24"/>
        </w:rPr>
        <w:lastRenderedPageBreak/>
        <w:t>Articles:</w:t>
      </w:r>
    </w:p>
    <w:p w14:paraId="0C02800B" w14:textId="77777777" w:rsidR="006A5622" w:rsidRDefault="006A5622" w:rsidP="00CC70EF">
      <w:pPr>
        <w:shd w:val="clear" w:color="auto" w:fill="FFFFFF"/>
        <w:spacing w:line="240" w:lineRule="auto"/>
        <w:ind w:left="720" w:hanging="720"/>
        <w:rPr>
          <w:sz w:val="24"/>
          <w:szCs w:val="24"/>
        </w:rPr>
      </w:pPr>
    </w:p>
    <w:p w14:paraId="56F6D1D4" w14:textId="77777777" w:rsidR="00B05D78" w:rsidRDefault="00B0694D" w:rsidP="00CC70EF">
      <w:pPr>
        <w:shd w:val="clear" w:color="auto" w:fill="FFFFFF"/>
        <w:spacing w:line="240" w:lineRule="auto"/>
        <w:ind w:left="720" w:hanging="720"/>
        <w:rPr>
          <w:sz w:val="24"/>
          <w:szCs w:val="24"/>
        </w:rPr>
      </w:pPr>
      <w:r>
        <w:rPr>
          <w:sz w:val="24"/>
          <w:szCs w:val="24"/>
        </w:rPr>
        <w:t xml:space="preserve">Bauer, P. (n.d.). </w:t>
      </w:r>
      <w:r>
        <w:rPr>
          <w:i/>
          <w:sz w:val="24"/>
          <w:szCs w:val="24"/>
        </w:rPr>
        <w:t>Westernization</w:t>
      </w:r>
      <w:r>
        <w:rPr>
          <w:sz w:val="24"/>
          <w:szCs w:val="24"/>
        </w:rPr>
        <w:t xml:space="preserve">. Britannica. </w:t>
      </w:r>
      <w:hyperlink r:id="rId38">
        <w:r>
          <w:rPr>
            <w:color w:val="1155CC"/>
            <w:sz w:val="24"/>
            <w:szCs w:val="24"/>
            <w:u w:val="single"/>
          </w:rPr>
          <w:t xml:space="preserve">https://www.britannica.com/topic/Westerniza </w:t>
        </w:r>
        <w:proofErr w:type="spellStart"/>
        <w:r>
          <w:rPr>
            <w:color w:val="1155CC"/>
            <w:sz w:val="24"/>
            <w:szCs w:val="24"/>
            <w:u w:val="single"/>
          </w:rPr>
          <w:t>tion</w:t>
        </w:r>
        <w:proofErr w:type="spellEnd"/>
      </w:hyperlink>
      <w:r>
        <w:rPr>
          <w:sz w:val="24"/>
          <w:szCs w:val="24"/>
        </w:rPr>
        <w:t xml:space="preserve"> </w:t>
      </w:r>
    </w:p>
    <w:p w14:paraId="55DC95D2" w14:textId="77777777" w:rsidR="00B05D78" w:rsidRDefault="00B05D78" w:rsidP="00CC70EF">
      <w:pPr>
        <w:spacing w:line="240" w:lineRule="auto"/>
        <w:rPr>
          <w:sz w:val="24"/>
          <w:szCs w:val="24"/>
        </w:rPr>
      </w:pPr>
    </w:p>
    <w:p w14:paraId="0A6C7109" w14:textId="77777777" w:rsidR="00B05D78" w:rsidRDefault="00B0694D" w:rsidP="00CC70EF">
      <w:pPr>
        <w:spacing w:line="240" w:lineRule="auto"/>
        <w:rPr>
          <w:sz w:val="24"/>
          <w:szCs w:val="24"/>
        </w:rPr>
      </w:pPr>
      <w:r>
        <w:rPr>
          <w:sz w:val="24"/>
          <w:szCs w:val="24"/>
        </w:rPr>
        <w:t xml:space="preserve">BC Association of Farmers’ Markets. (2020). </w:t>
      </w:r>
      <w:r>
        <w:rPr>
          <w:i/>
          <w:sz w:val="24"/>
          <w:szCs w:val="24"/>
        </w:rPr>
        <w:t>Annual report 2020.</w:t>
      </w:r>
      <w:r>
        <w:rPr>
          <w:sz w:val="24"/>
          <w:szCs w:val="24"/>
        </w:rPr>
        <w:t xml:space="preserve"> BC Farmers’ Markets.</w:t>
      </w:r>
    </w:p>
    <w:p w14:paraId="7D390E47" w14:textId="77777777" w:rsidR="00B05D78" w:rsidRDefault="00A123AB" w:rsidP="00CC70EF">
      <w:pPr>
        <w:spacing w:line="240" w:lineRule="auto"/>
        <w:ind w:left="720"/>
        <w:rPr>
          <w:sz w:val="24"/>
          <w:szCs w:val="24"/>
        </w:rPr>
      </w:pPr>
      <w:hyperlink r:id="rId39">
        <w:r w:rsidR="00B0694D">
          <w:rPr>
            <w:color w:val="1155CC"/>
            <w:sz w:val="24"/>
            <w:szCs w:val="24"/>
            <w:u w:val="single"/>
          </w:rPr>
          <w:t xml:space="preserve">https://bcfarmersmarket.org/app/uploads/2021/03/BCAFM-Annual-Report-FINAL.pdf </w:t>
        </w:r>
      </w:hyperlink>
    </w:p>
    <w:p w14:paraId="10E5B9D9" w14:textId="77777777" w:rsidR="00B05D78" w:rsidRDefault="00B05D78" w:rsidP="00CC70EF">
      <w:pPr>
        <w:spacing w:line="240" w:lineRule="auto"/>
        <w:rPr>
          <w:sz w:val="24"/>
          <w:szCs w:val="24"/>
        </w:rPr>
      </w:pPr>
    </w:p>
    <w:p w14:paraId="58177DA4" w14:textId="77777777" w:rsidR="00B05D78" w:rsidRDefault="00B0694D" w:rsidP="00CC70EF">
      <w:pPr>
        <w:spacing w:line="240" w:lineRule="auto"/>
        <w:rPr>
          <w:i/>
          <w:sz w:val="24"/>
          <w:szCs w:val="24"/>
        </w:rPr>
      </w:pPr>
      <w:r>
        <w:rPr>
          <w:sz w:val="24"/>
          <w:szCs w:val="24"/>
        </w:rPr>
        <w:t xml:space="preserve">BC Government News. (2020, June 5). </w:t>
      </w:r>
      <w:r>
        <w:rPr>
          <w:i/>
          <w:sz w:val="24"/>
          <w:szCs w:val="24"/>
        </w:rPr>
        <w:t>Thyme for a new round of farmers market</w:t>
      </w:r>
    </w:p>
    <w:p w14:paraId="183BE52E" w14:textId="77777777" w:rsidR="00B05D78" w:rsidRDefault="00B0694D" w:rsidP="00CC70EF">
      <w:pPr>
        <w:spacing w:line="240" w:lineRule="auto"/>
        <w:ind w:left="720"/>
        <w:rPr>
          <w:sz w:val="24"/>
          <w:szCs w:val="24"/>
        </w:rPr>
      </w:pPr>
      <w:r>
        <w:rPr>
          <w:i/>
          <w:sz w:val="24"/>
          <w:szCs w:val="24"/>
        </w:rPr>
        <w:t>program funding.</w:t>
      </w:r>
      <w:r>
        <w:rPr>
          <w:sz w:val="24"/>
          <w:szCs w:val="24"/>
        </w:rPr>
        <w:t xml:space="preserve"> Retrieved April 24, 2021 from, </w:t>
      </w:r>
      <w:hyperlink r:id="rId40">
        <w:r>
          <w:rPr>
            <w:color w:val="1155CC"/>
            <w:sz w:val="24"/>
            <w:szCs w:val="24"/>
            <w:u w:val="single"/>
          </w:rPr>
          <w:t>https://news.gov.bc.ca/releases /2020HLTH0031-001028</w:t>
        </w:r>
      </w:hyperlink>
    </w:p>
    <w:p w14:paraId="4CD3DF11" w14:textId="77777777" w:rsidR="00B05D78" w:rsidRDefault="00B05D78" w:rsidP="00CC70EF">
      <w:pPr>
        <w:spacing w:line="240" w:lineRule="auto"/>
        <w:rPr>
          <w:sz w:val="24"/>
          <w:szCs w:val="24"/>
        </w:rPr>
      </w:pPr>
    </w:p>
    <w:p w14:paraId="77216258" w14:textId="77777777" w:rsidR="00B05D78" w:rsidRDefault="00B0694D" w:rsidP="00CC70EF">
      <w:pPr>
        <w:shd w:val="clear" w:color="auto" w:fill="FFFFFF"/>
        <w:spacing w:line="240" w:lineRule="auto"/>
      </w:pPr>
      <w:r>
        <w:rPr>
          <w:sz w:val="24"/>
          <w:szCs w:val="24"/>
        </w:rPr>
        <w:t xml:space="preserve">BC Ministry of Health. (2013). </w:t>
      </w:r>
      <w:r>
        <w:rPr>
          <w:i/>
          <w:sz w:val="24"/>
          <w:szCs w:val="24"/>
        </w:rPr>
        <w:t>Evidence review: Food security</w:t>
      </w:r>
      <w:r>
        <w:rPr>
          <w:sz w:val="24"/>
          <w:szCs w:val="24"/>
        </w:rPr>
        <w:t xml:space="preserve">. </w:t>
      </w:r>
      <w:hyperlink r:id="rId41">
        <w:r>
          <w:rPr>
            <w:color w:val="1155CC"/>
            <w:sz w:val="24"/>
            <w:szCs w:val="24"/>
            <w:u w:val="single"/>
          </w:rPr>
          <w:t>https://www2.gov.bc.ca</w:t>
        </w:r>
      </w:hyperlink>
    </w:p>
    <w:p w14:paraId="56C6BBA2" w14:textId="77777777" w:rsidR="00B05D78" w:rsidRDefault="00A123AB" w:rsidP="00CC70EF">
      <w:pPr>
        <w:shd w:val="clear" w:color="auto" w:fill="FFFFFF"/>
        <w:spacing w:line="240" w:lineRule="auto"/>
        <w:ind w:firstLine="720"/>
      </w:pPr>
      <w:hyperlink r:id="rId42">
        <w:r w:rsidR="00B0694D">
          <w:rPr>
            <w:color w:val="1155CC"/>
            <w:sz w:val="24"/>
            <w:szCs w:val="24"/>
            <w:u w:val="single"/>
          </w:rPr>
          <w:t>/assets/gov/health/about-bc-s-health-care-system/public-health/healthy-living-and</w:t>
        </w:r>
      </w:hyperlink>
    </w:p>
    <w:p w14:paraId="211924D3" w14:textId="77777777" w:rsidR="00B05D78" w:rsidRDefault="00A123AB" w:rsidP="00CC70EF">
      <w:pPr>
        <w:shd w:val="clear" w:color="auto" w:fill="FFFFFF"/>
        <w:spacing w:line="240" w:lineRule="auto"/>
        <w:ind w:firstLine="720"/>
        <w:rPr>
          <w:sz w:val="24"/>
          <w:szCs w:val="24"/>
        </w:rPr>
      </w:pPr>
      <w:hyperlink r:id="rId43">
        <w:r w:rsidR="00B0694D">
          <w:rPr>
            <w:color w:val="1155CC"/>
            <w:sz w:val="24"/>
            <w:szCs w:val="24"/>
            <w:u w:val="single"/>
          </w:rPr>
          <w:t>-healthy-communities/food-security-evidence-review.pdf</w:t>
        </w:r>
      </w:hyperlink>
    </w:p>
    <w:p w14:paraId="5CA66680" w14:textId="77777777" w:rsidR="00B05D78" w:rsidRDefault="00B05D78" w:rsidP="00CC70EF">
      <w:pPr>
        <w:shd w:val="clear" w:color="auto" w:fill="FFFFFF"/>
        <w:spacing w:line="240" w:lineRule="auto"/>
        <w:rPr>
          <w:sz w:val="24"/>
          <w:szCs w:val="24"/>
        </w:rPr>
      </w:pPr>
    </w:p>
    <w:p w14:paraId="76B73103" w14:textId="77777777" w:rsidR="00B05D78" w:rsidRDefault="00B0694D" w:rsidP="00CC70EF">
      <w:pPr>
        <w:shd w:val="clear" w:color="auto" w:fill="FFFFFF"/>
        <w:spacing w:line="240" w:lineRule="auto"/>
        <w:rPr>
          <w:i/>
          <w:sz w:val="24"/>
          <w:szCs w:val="24"/>
        </w:rPr>
      </w:pPr>
      <w:proofErr w:type="spellStart"/>
      <w:r>
        <w:rPr>
          <w:sz w:val="24"/>
          <w:szCs w:val="24"/>
        </w:rPr>
        <w:t>Biin</w:t>
      </w:r>
      <w:proofErr w:type="spellEnd"/>
      <w:r>
        <w:rPr>
          <w:sz w:val="24"/>
          <w:szCs w:val="24"/>
        </w:rPr>
        <w:t xml:space="preserve">, D., Hodgson, C., &amp; Wilson, K. (2018, September 5). </w:t>
      </w:r>
      <w:r>
        <w:rPr>
          <w:i/>
          <w:sz w:val="24"/>
          <w:szCs w:val="24"/>
        </w:rPr>
        <w:t xml:space="preserve">Acknowledging Traditional </w:t>
      </w:r>
    </w:p>
    <w:p w14:paraId="6CE02B3C" w14:textId="77777777" w:rsidR="00B05D78" w:rsidRDefault="00B0694D" w:rsidP="00CC70EF">
      <w:pPr>
        <w:shd w:val="clear" w:color="auto" w:fill="FFFFFF"/>
        <w:spacing w:line="240" w:lineRule="auto"/>
        <w:ind w:left="720"/>
        <w:rPr>
          <w:sz w:val="24"/>
          <w:szCs w:val="24"/>
        </w:rPr>
      </w:pPr>
      <w:r>
        <w:rPr>
          <w:i/>
          <w:sz w:val="24"/>
          <w:szCs w:val="24"/>
        </w:rPr>
        <w:t>Territories</w:t>
      </w:r>
      <w:r>
        <w:rPr>
          <w:sz w:val="24"/>
          <w:szCs w:val="24"/>
        </w:rPr>
        <w:t>. Pulling Together Foundations Guide</w:t>
      </w:r>
      <w:r w:rsidR="00BD35F9">
        <w:rPr>
          <w:sz w:val="24"/>
          <w:szCs w:val="24"/>
        </w:rPr>
        <w:t xml:space="preserve">. </w:t>
      </w:r>
      <w:hyperlink r:id="rId44" w:anchor=":~:text=Unceded%20means%20that%20First%20Nations ,ancestors%20traditionally%20occupied%20and%20used." w:history="1">
        <w:r w:rsidR="00BD35F9" w:rsidRPr="00B80BE9">
          <w:rPr>
            <w:rStyle w:val="Hyperlink"/>
            <w:sz w:val="24"/>
            <w:szCs w:val="24"/>
          </w:rPr>
          <w:t>https://opentextbc.ca/ indigenizationfoundations/chapter/acknowledging-traditional-territories/#:~:text=Unceded%20means%20that%20First%20Nations ,ancestors%20traditionally%20occupied%20and%20used.</w:t>
        </w:r>
      </w:hyperlink>
    </w:p>
    <w:p w14:paraId="6EE79368" w14:textId="77777777" w:rsidR="00B05D78" w:rsidRDefault="00B05D78" w:rsidP="00CC70EF">
      <w:pPr>
        <w:spacing w:line="240" w:lineRule="auto"/>
        <w:rPr>
          <w:sz w:val="24"/>
          <w:szCs w:val="24"/>
        </w:rPr>
      </w:pPr>
    </w:p>
    <w:p w14:paraId="450EEB4D" w14:textId="77777777" w:rsidR="00B05D78" w:rsidRDefault="00B0694D" w:rsidP="00CC70EF">
      <w:pPr>
        <w:spacing w:line="240" w:lineRule="auto"/>
        <w:rPr>
          <w:i/>
          <w:sz w:val="24"/>
          <w:szCs w:val="24"/>
        </w:rPr>
      </w:pPr>
      <w:r>
        <w:rPr>
          <w:sz w:val="24"/>
          <w:szCs w:val="24"/>
        </w:rPr>
        <w:t xml:space="preserve">British Columbia Teachers’ Federation. (n.d.). </w:t>
      </w:r>
      <w:r>
        <w:rPr>
          <w:i/>
          <w:sz w:val="24"/>
          <w:szCs w:val="24"/>
        </w:rPr>
        <w:t xml:space="preserve">Timeline History of Aboriginal Peoples in </w:t>
      </w:r>
    </w:p>
    <w:p w14:paraId="6865BFD0" w14:textId="77777777" w:rsidR="00B05D78" w:rsidRDefault="00B0694D" w:rsidP="00CC70EF">
      <w:pPr>
        <w:spacing w:line="240" w:lineRule="auto"/>
        <w:ind w:left="720"/>
        <w:rPr>
          <w:sz w:val="24"/>
          <w:szCs w:val="24"/>
        </w:rPr>
      </w:pPr>
      <w:r>
        <w:rPr>
          <w:i/>
          <w:sz w:val="24"/>
          <w:szCs w:val="24"/>
        </w:rPr>
        <w:t>British Columbia</w:t>
      </w:r>
      <w:r>
        <w:rPr>
          <w:sz w:val="24"/>
          <w:szCs w:val="24"/>
        </w:rPr>
        <w:t xml:space="preserve">. </w:t>
      </w:r>
      <w:hyperlink r:id="rId45">
        <w:r>
          <w:rPr>
            <w:color w:val="1155CC"/>
            <w:sz w:val="24"/>
            <w:szCs w:val="24"/>
            <w:u w:val="single"/>
          </w:rPr>
          <w:t>https://bctf.ca/uploadedFiles/Public/AboriginalEducation /AboriginalTimelineHistory.pdf</w:t>
        </w:r>
      </w:hyperlink>
    </w:p>
    <w:p w14:paraId="227C7C69" w14:textId="77777777" w:rsidR="00B05D78" w:rsidRDefault="00B05D78" w:rsidP="00CC70EF">
      <w:pPr>
        <w:spacing w:line="240" w:lineRule="auto"/>
        <w:rPr>
          <w:sz w:val="24"/>
          <w:szCs w:val="24"/>
        </w:rPr>
      </w:pPr>
    </w:p>
    <w:p w14:paraId="1CBD8690" w14:textId="77777777" w:rsidR="00B05D78" w:rsidRDefault="00B0694D" w:rsidP="00CC70EF">
      <w:pPr>
        <w:spacing w:line="240" w:lineRule="auto"/>
        <w:rPr>
          <w:i/>
          <w:sz w:val="24"/>
          <w:szCs w:val="24"/>
        </w:rPr>
      </w:pPr>
      <w:r>
        <w:rPr>
          <w:sz w:val="24"/>
          <w:szCs w:val="24"/>
        </w:rPr>
        <w:t xml:space="preserve">Chan, E. (2019). </w:t>
      </w:r>
      <w:r>
        <w:rPr>
          <w:i/>
          <w:sz w:val="24"/>
          <w:szCs w:val="24"/>
        </w:rPr>
        <w:t xml:space="preserve">New BC legislation now in force to implement Declaration on the </w:t>
      </w:r>
    </w:p>
    <w:p w14:paraId="2DE0018E" w14:textId="77777777" w:rsidR="00B05D78" w:rsidRDefault="00B0694D" w:rsidP="00CC70EF">
      <w:pPr>
        <w:spacing w:line="240" w:lineRule="auto"/>
        <w:ind w:left="720"/>
        <w:rPr>
          <w:sz w:val="24"/>
          <w:szCs w:val="24"/>
        </w:rPr>
      </w:pPr>
      <w:r>
        <w:rPr>
          <w:i/>
          <w:sz w:val="24"/>
          <w:szCs w:val="24"/>
        </w:rPr>
        <w:t>Rights of Indigenous Peoples Act</w:t>
      </w:r>
      <w:r>
        <w:rPr>
          <w:sz w:val="24"/>
          <w:szCs w:val="24"/>
        </w:rPr>
        <w:t xml:space="preserve">. Canada. Norton Rose Fulbright. </w:t>
      </w:r>
      <w:hyperlink r:id="rId46">
        <w:r>
          <w:rPr>
            <w:color w:val="1155CC"/>
            <w:sz w:val="24"/>
            <w:szCs w:val="24"/>
            <w:u w:val="single"/>
          </w:rPr>
          <w:t>https://www.nortonrosefulbright.com/en-ca/knowledge/publications/32ff0686/new-bc-legislation-now-in-force-to-implement-declaration-on-the-rights-of-indigenous-peoples-act.</w:t>
        </w:r>
      </w:hyperlink>
    </w:p>
    <w:p w14:paraId="05A863C1" w14:textId="77777777" w:rsidR="00B05D78" w:rsidRDefault="00B05D78" w:rsidP="00CC70EF">
      <w:pPr>
        <w:spacing w:line="240" w:lineRule="auto"/>
        <w:rPr>
          <w:sz w:val="24"/>
          <w:szCs w:val="24"/>
        </w:rPr>
      </w:pPr>
    </w:p>
    <w:p w14:paraId="28079B50" w14:textId="77777777" w:rsidR="00B05D78" w:rsidRDefault="00B0694D" w:rsidP="00CC70EF">
      <w:pPr>
        <w:spacing w:line="240" w:lineRule="auto"/>
        <w:rPr>
          <w:i/>
          <w:sz w:val="24"/>
          <w:szCs w:val="24"/>
        </w:rPr>
      </w:pPr>
      <w:r>
        <w:rPr>
          <w:sz w:val="24"/>
          <w:szCs w:val="24"/>
        </w:rPr>
        <w:t xml:space="preserve">City of Vancouver. (2021). </w:t>
      </w:r>
      <w:r>
        <w:rPr>
          <w:i/>
          <w:sz w:val="24"/>
          <w:szCs w:val="24"/>
        </w:rPr>
        <w:t>Populations Disproportionately Impacted by COVID 19.</w:t>
      </w:r>
    </w:p>
    <w:p w14:paraId="46DE0861" w14:textId="77777777" w:rsidR="00B05D78" w:rsidRDefault="00B0694D" w:rsidP="00CC70EF">
      <w:pPr>
        <w:spacing w:line="240" w:lineRule="auto"/>
        <w:ind w:left="720"/>
        <w:rPr>
          <w:sz w:val="24"/>
          <w:szCs w:val="24"/>
        </w:rPr>
      </w:pPr>
      <w:r>
        <w:rPr>
          <w:i/>
          <w:sz w:val="24"/>
          <w:szCs w:val="24"/>
        </w:rPr>
        <w:t xml:space="preserve">Current State Assessment. </w:t>
      </w:r>
      <w:hyperlink r:id="rId47">
        <w:r>
          <w:rPr>
            <w:color w:val="1155CC"/>
            <w:sz w:val="24"/>
            <w:szCs w:val="24"/>
            <w:u w:val="single"/>
          </w:rPr>
          <w:t>https://vancouver.ca/files/cov/pdi-covid-current-state-r eport-january-2021.pdf</w:t>
        </w:r>
      </w:hyperlink>
      <w:r>
        <w:rPr>
          <w:sz w:val="24"/>
          <w:szCs w:val="24"/>
        </w:rPr>
        <w:t xml:space="preserve"> </w:t>
      </w:r>
    </w:p>
    <w:p w14:paraId="4EF4538B" w14:textId="77777777" w:rsidR="00B05D78" w:rsidRDefault="00B05D78" w:rsidP="00CC70EF">
      <w:pPr>
        <w:spacing w:line="240" w:lineRule="auto"/>
        <w:rPr>
          <w:sz w:val="24"/>
          <w:szCs w:val="24"/>
        </w:rPr>
      </w:pPr>
    </w:p>
    <w:p w14:paraId="0E35E154" w14:textId="77777777" w:rsidR="00CC70EF" w:rsidRDefault="00B0694D" w:rsidP="00CC70EF">
      <w:pPr>
        <w:spacing w:line="240" w:lineRule="auto"/>
        <w:rPr>
          <w:i/>
          <w:sz w:val="24"/>
          <w:szCs w:val="24"/>
        </w:rPr>
      </w:pPr>
      <w:proofErr w:type="spellStart"/>
      <w:r>
        <w:rPr>
          <w:sz w:val="24"/>
          <w:szCs w:val="24"/>
        </w:rPr>
        <w:t>Dachner</w:t>
      </w:r>
      <w:proofErr w:type="spellEnd"/>
      <w:r>
        <w:rPr>
          <w:sz w:val="24"/>
          <w:szCs w:val="24"/>
        </w:rPr>
        <w:t xml:space="preserve">, N., &amp; </w:t>
      </w:r>
      <w:proofErr w:type="spellStart"/>
      <w:r>
        <w:rPr>
          <w:sz w:val="24"/>
          <w:szCs w:val="24"/>
        </w:rPr>
        <w:t>Tarasuk</w:t>
      </w:r>
      <w:proofErr w:type="spellEnd"/>
      <w:r>
        <w:rPr>
          <w:sz w:val="24"/>
          <w:szCs w:val="24"/>
        </w:rPr>
        <w:t xml:space="preserve">, V. (2017). </w:t>
      </w:r>
      <w:r>
        <w:rPr>
          <w:i/>
          <w:sz w:val="24"/>
          <w:szCs w:val="24"/>
        </w:rPr>
        <w:t>Food waste and food insecurity in Canada</w:t>
      </w:r>
      <w:r w:rsidR="00CC70EF">
        <w:rPr>
          <w:i/>
          <w:sz w:val="24"/>
          <w:szCs w:val="24"/>
        </w:rPr>
        <w:t xml:space="preserve"> –</w:t>
      </w:r>
    </w:p>
    <w:p w14:paraId="44120139" w14:textId="77777777" w:rsidR="00CC70EF" w:rsidRDefault="00B0694D" w:rsidP="00CC70EF">
      <w:pPr>
        <w:spacing w:line="240" w:lineRule="auto"/>
        <w:ind w:firstLine="720"/>
        <w:rPr>
          <w:i/>
          <w:sz w:val="24"/>
          <w:szCs w:val="24"/>
        </w:rPr>
      </w:pPr>
      <w:r>
        <w:rPr>
          <w:i/>
          <w:sz w:val="24"/>
          <w:szCs w:val="24"/>
        </w:rPr>
        <w:t>Diverting food waste to charitable food programs will not address food insecurity</w:t>
      </w:r>
    </w:p>
    <w:p w14:paraId="01C5B9E8" w14:textId="77777777" w:rsidR="006F6AF6" w:rsidRPr="00655E30" w:rsidRDefault="00CC70EF" w:rsidP="00655E30">
      <w:pPr>
        <w:spacing w:line="240" w:lineRule="auto"/>
        <w:ind w:left="720"/>
        <w:rPr>
          <w:color w:val="0000FF" w:themeColor="hyperlink"/>
          <w:sz w:val="24"/>
          <w:szCs w:val="24"/>
          <w:u w:val="single"/>
        </w:rPr>
      </w:pPr>
      <w:r>
        <w:rPr>
          <w:i/>
          <w:sz w:val="24"/>
          <w:szCs w:val="24"/>
        </w:rPr>
        <w:t>I</w:t>
      </w:r>
      <w:r w:rsidR="00B0694D">
        <w:rPr>
          <w:i/>
          <w:sz w:val="24"/>
          <w:szCs w:val="24"/>
        </w:rPr>
        <w:t>n</w:t>
      </w:r>
      <w:r>
        <w:rPr>
          <w:i/>
          <w:sz w:val="24"/>
          <w:szCs w:val="24"/>
        </w:rPr>
        <w:t xml:space="preserve"> </w:t>
      </w:r>
      <w:r w:rsidR="00B0694D">
        <w:rPr>
          <w:i/>
          <w:sz w:val="24"/>
          <w:szCs w:val="24"/>
        </w:rPr>
        <w:t>Canada</w:t>
      </w:r>
      <w:r w:rsidR="00B0694D">
        <w:rPr>
          <w:sz w:val="24"/>
          <w:szCs w:val="24"/>
        </w:rPr>
        <w:t xml:space="preserve">. PROOF. </w:t>
      </w:r>
      <w:hyperlink r:id="rId48" w:history="1">
        <w:r w:rsidRPr="00B80BE9">
          <w:rPr>
            <w:rStyle w:val="Hyperlink"/>
            <w:sz w:val="24"/>
            <w:szCs w:val="24"/>
          </w:rPr>
          <w:t>https://proof.utoronto.ca/food-waste-and-food-insecurity -in-canada/</w:t>
        </w:r>
      </w:hyperlink>
    </w:p>
    <w:p w14:paraId="1979B6BA" w14:textId="77777777" w:rsidR="00B05D78" w:rsidRDefault="00B0694D" w:rsidP="00CC70EF">
      <w:pPr>
        <w:widowControl w:val="0"/>
        <w:spacing w:line="240" w:lineRule="auto"/>
        <w:jc w:val="both"/>
        <w:rPr>
          <w:sz w:val="24"/>
          <w:szCs w:val="24"/>
        </w:rPr>
      </w:pPr>
      <w:r>
        <w:rPr>
          <w:sz w:val="24"/>
          <w:szCs w:val="24"/>
        </w:rPr>
        <w:t xml:space="preserve">Davy, D. (2016). Australia’s efforts to improve food security for Aboriginal and Torres </w:t>
      </w:r>
    </w:p>
    <w:p w14:paraId="6D63AEF3" w14:textId="77777777" w:rsidR="00B05D78" w:rsidRDefault="00B0694D" w:rsidP="00CC70EF">
      <w:pPr>
        <w:widowControl w:val="0"/>
        <w:spacing w:line="240" w:lineRule="auto"/>
        <w:ind w:firstLine="720"/>
        <w:jc w:val="both"/>
        <w:rPr>
          <w:sz w:val="24"/>
          <w:szCs w:val="24"/>
        </w:rPr>
      </w:pPr>
      <w:r>
        <w:rPr>
          <w:sz w:val="24"/>
          <w:szCs w:val="24"/>
        </w:rPr>
        <w:t xml:space="preserve">Strait Islander peoples. </w:t>
      </w:r>
      <w:r>
        <w:rPr>
          <w:i/>
          <w:sz w:val="24"/>
          <w:szCs w:val="24"/>
        </w:rPr>
        <w:t>Health and Human Rights, 18</w:t>
      </w:r>
      <w:r>
        <w:rPr>
          <w:sz w:val="24"/>
          <w:szCs w:val="24"/>
        </w:rPr>
        <w:t xml:space="preserve">(2), 209-218. </w:t>
      </w:r>
    </w:p>
    <w:p w14:paraId="243B85A8" w14:textId="77777777" w:rsidR="00B05D78" w:rsidRDefault="00B05D78" w:rsidP="00CC70EF">
      <w:pPr>
        <w:spacing w:line="240" w:lineRule="auto"/>
        <w:ind w:left="720"/>
        <w:rPr>
          <w:sz w:val="24"/>
          <w:szCs w:val="24"/>
        </w:rPr>
      </w:pPr>
    </w:p>
    <w:p w14:paraId="1A834EBB" w14:textId="77777777" w:rsidR="00B05D78" w:rsidRDefault="00B0694D" w:rsidP="004A4C4E">
      <w:pPr>
        <w:spacing w:line="240" w:lineRule="auto"/>
        <w:ind w:left="720" w:hanging="720"/>
        <w:rPr>
          <w:sz w:val="24"/>
          <w:szCs w:val="24"/>
        </w:rPr>
      </w:pPr>
      <w:r>
        <w:rPr>
          <w:sz w:val="24"/>
          <w:szCs w:val="24"/>
        </w:rPr>
        <w:t xml:space="preserve">Dictionary. (n.d.). </w:t>
      </w:r>
      <w:r>
        <w:rPr>
          <w:i/>
          <w:sz w:val="24"/>
          <w:szCs w:val="24"/>
        </w:rPr>
        <w:t>Off-reserve</w:t>
      </w:r>
      <w:r>
        <w:rPr>
          <w:sz w:val="24"/>
          <w:szCs w:val="24"/>
        </w:rPr>
        <w:t xml:space="preserve">. Dictionary.com. </w:t>
      </w:r>
      <w:hyperlink r:id="rId49" w:anchor=":~:text=adjective,of%20a%20designated%20Indian%20reserve">
        <w:r>
          <w:rPr>
            <w:color w:val="1155CC"/>
            <w:sz w:val="24"/>
            <w:szCs w:val="24"/>
            <w:u w:val="single"/>
          </w:rPr>
          <w:t xml:space="preserve">https://www.dictionary.com/browse/off-res </w:t>
        </w:r>
        <w:proofErr w:type="spellStart"/>
        <w:r>
          <w:rPr>
            <w:color w:val="1155CC"/>
            <w:sz w:val="24"/>
            <w:szCs w:val="24"/>
            <w:u w:val="single"/>
          </w:rPr>
          <w:t>erve</w:t>
        </w:r>
        <w:proofErr w:type="spellEnd"/>
        <w:r>
          <w:rPr>
            <w:color w:val="1155CC"/>
            <w:sz w:val="24"/>
            <w:szCs w:val="24"/>
            <w:u w:val="single"/>
          </w:rPr>
          <w:t>#:~:text=adjective,of%20a%20designated%20Indian%20reserve</w:t>
        </w:r>
      </w:hyperlink>
      <w:r>
        <w:rPr>
          <w:sz w:val="24"/>
          <w:szCs w:val="24"/>
        </w:rPr>
        <w:t xml:space="preserve">. </w:t>
      </w:r>
    </w:p>
    <w:p w14:paraId="3A702776" w14:textId="77777777" w:rsidR="00B05D78" w:rsidRDefault="00B0694D" w:rsidP="00CC70EF">
      <w:pPr>
        <w:spacing w:line="240" w:lineRule="auto"/>
        <w:rPr>
          <w:sz w:val="24"/>
          <w:szCs w:val="24"/>
        </w:rPr>
      </w:pPr>
      <w:r>
        <w:rPr>
          <w:sz w:val="24"/>
          <w:szCs w:val="24"/>
        </w:rPr>
        <w:lastRenderedPageBreak/>
        <w:t xml:space="preserve">Dietitians of Canada. (2012). </w:t>
      </w:r>
      <w:r>
        <w:rPr>
          <w:i/>
          <w:sz w:val="24"/>
          <w:szCs w:val="24"/>
        </w:rPr>
        <w:t>Food Security Evidence Summary</w:t>
      </w:r>
      <w:r>
        <w:rPr>
          <w:sz w:val="24"/>
          <w:szCs w:val="24"/>
        </w:rPr>
        <w:t>. PEN (Practice-based</w:t>
      </w:r>
    </w:p>
    <w:p w14:paraId="7BA6B74D" w14:textId="77777777" w:rsidR="00B05D78" w:rsidRDefault="00B0694D" w:rsidP="00CC70EF">
      <w:pPr>
        <w:spacing w:line="240" w:lineRule="auto"/>
        <w:ind w:firstLine="720"/>
        <w:rPr>
          <w:sz w:val="24"/>
          <w:szCs w:val="24"/>
        </w:rPr>
      </w:pPr>
      <w:r>
        <w:rPr>
          <w:sz w:val="24"/>
          <w:szCs w:val="24"/>
        </w:rPr>
        <w:t>Evidence in Nutrition): The Global Resource for Nutrition Practice.</w:t>
      </w:r>
    </w:p>
    <w:p w14:paraId="45D2F238" w14:textId="77777777" w:rsidR="00B05D78" w:rsidRDefault="00A123AB" w:rsidP="00CC70EF">
      <w:pPr>
        <w:spacing w:line="240" w:lineRule="auto"/>
        <w:ind w:left="720"/>
        <w:rPr>
          <w:sz w:val="24"/>
          <w:szCs w:val="24"/>
        </w:rPr>
      </w:pPr>
      <w:hyperlink r:id="rId50">
        <w:r w:rsidR="00B0694D">
          <w:rPr>
            <w:color w:val="1155CC"/>
            <w:sz w:val="24"/>
            <w:szCs w:val="24"/>
            <w:u w:val="single"/>
          </w:rPr>
          <w:t xml:space="preserve">http://www.pennutrition.com.  </w:t>
        </w:r>
      </w:hyperlink>
    </w:p>
    <w:p w14:paraId="48A321E3" w14:textId="77777777" w:rsidR="00BD35F9" w:rsidRDefault="00BD35F9" w:rsidP="00CC70EF">
      <w:pPr>
        <w:spacing w:line="240" w:lineRule="auto"/>
        <w:ind w:left="720" w:hanging="720"/>
        <w:rPr>
          <w:sz w:val="24"/>
          <w:szCs w:val="24"/>
          <w:highlight w:val="white"/>
        </w:rPr>
      </w:pPr>
    </w:p>
    <w:p w14:paraId="3557EF9C" w14:textId="77777777" w:rsidR="00B05D78" w:rsidRDefault="00B0694D" w:rsidP="00CC70EF">
      <w:pPr>
        <w:spacing w:line="240" w:lineRule="auto"/>
        <w:ind w:left="720" w:hanging="720"/>
        <w:rPr>
          <w:sz w:val="24"/>
          <w:szCs w:val="24"/>
          <w:highlight w:val="white"/>
        </w:rPr>
      </w:pPr>
      <w:r>
        <w:rPr>
          <w:sz w:val="24"/>
          <w:szCs w:val="24"/>
          <w:highlight w:val="white"/>
        </w:rPr>
        <w:t xml:space="preserve">Feminist Research Ethics (n.d.). </w:t>
      </w:r>
      <w:r>
        <w:rPr>
          <w:i/>
          <w:sz w:val="24"/>
          <w:szCs w:val="24"/>
          <w:highlight w:val="white"/>
        </w:rPr>
        <w:t>Decolonizing Knowledge Production</w:t>
      </w:r>
      <w:r>
        <w:rPr>
          <w:sz w:val="24"/>
          <w:szCs w:val="24"/>
          <w:highlight w:val="white"/>
        </w:rPr>
        <w:t xml:space="preserve">. Retrieved March 18, 2021, from </w:t>
      </w:r>
      <w:hyperlink r:id="rId51">
        <w:r>
          <w:rPr>
            <w:color w:val="1155CC"/>
            <w:sz w:val="24"/>
            <w:szCs w:val="24"/>
            <w:highlight w:val="white"/>
            <w:u w:val="single"/>
          </w:rPr>
          <w:t xml:space="preserve">https://genurb.apps01.yorku.ca/courses/feminist-research-ethics/l </w:t>
        </w:r>
        <w:proofErr w:type="spellStart"/>
        <w:r>
          <w:rPr>
            <w:color w:val="1155CC"/>
            <w:sz w:val="24"/>
            <w:szCs w:val="24"/>
            <w:highlight w:val="white"/>
            <w:u w:val="single"/>
          </w:rPr>
          <w:t>essons</w:t>
        </w:r>
        <w:proofErr w:type="spellEnd"/>
        <w:r>
          <w:rPr>
            <w:color w:val="1155CC"/>
            <w:sz w:val="24"/>
            <w:szCs w:val="24"/>
            <w:highlight w:val="white"/>
            <w:u w:val="single"/>
          </w:rPr>
          <w:t>/decolonizing-knowledge-production/</w:t>
        </w:r>
      </w:hyperlink>
    </w:p>
    <w:p w14:paraId="09900DF7" w14:textId="77777777" w:rsidR="00BD35F9" w:rsidRDefault="00BD35F9" w:rsidP="00CC70EF">
      <w:pPr>
        <w:spacing w:line="240" w:lineRule="auto"/>
        <w:ind w:left="720" w:hanging="720"/>
        <w:rPr>
          <w:sz w:val="24"/>
          <w:szCs w:val="24"/>
        </w:rPr>
      </w:pPr>
    </w:p>
    <w:p w14:paraId="76746B7C" w14:textId="77777777" w:rsidR="00B05D78" w:rsidRDefault="00B0694D" w:rsidP="00CC70EF">
      <w:pPr>
        <w:spacing w:line="240" w:lineRule="auto"/>
        <w:ind w:left="720" w:hanging="720"/>
        <w:rPr>
          <w:sz w:val="24"/>
          <w:szCs w:val="24"/>
        </w:rPr>
      </w:pPr>
      <w:r>
        <w:rPr>
          <w:sz w:val="24"/>
          <w:szCs w:val="24"/>
        </w:rPr>
        <w:t xml:space="preserve">First Nations and Indigenous Studies. (2009). </w:t>
      </w:r>
      <w:r>
        <w:rPr>
          <w:i/>
          <w:sz w:val="24"/>
          <w:szCs w:val="24"/>
        </w:rPr>
        <w:t>Terminology</w:t>
      </w:r>
      <w:r>
        <w:rPr>
          <w:sz w:val="24"/>
          <w:szCs w:val="24"/>
        </w:rPr>
        <w:t xml:space="preserve">. </w:t>
      </w:r>
      <w:proofErr w:type="spellStart"/>
      <w:r>
        <w:rPr>
          <w:sz w:val="24"/>
          <w:szCs w:val="24"/>
        </w:rPr>
        <w:t>Indigenousfoundations.arts</w:t>
      </w:r>
      <w:proofErr w:type="spellEnd"/>
      <w:r>
        <w:rPr>
          <w:sz w:val="24"/>
          <w:szCs w:val="24"/>
        </w:rPr>
        <w:t xml:space="preserve">. ubc.ca. </w:t>
      </w:r>
      <w:hyperlink r:id="rId52">
        <w:r>
          <w:rPr>
            <w:color w:val="1155CC"/>
            <w:sz w:val="24"/>
            <w:szCs w:val="24"/>
            <w:u w:val="single"/>
          </w:rPr>
          <w:t>https://indigenousfoundations.arts.ubc.ca/terminology/</w:t>
        </w:r>
      </w:hyperlink>
    </w:p>
    <w:p w14:paraId="6B4C5B12" w14:textId="77777777" w:rsidR="00B05D78" w:rsidRDefault="00B05D78" w:rsidP="00CC70EF">
      <w:pPr>
        <w:spacing w:line="240" w:lineRule="auto"/>
        <w:rPr>
          <w:sz w:val="24"/>
          <w:szCs w:val="24"/>
          <w:highlight w:val="white"/>
        </w:rPr>
      </w:pPr>
    </w:p>
    <w:p w14:paraId="6B4EB873" w14:textId="77777777" w:rsidR="00B05D78" w:rsidRDefault="00B0694D" w:rsidP="00CC70EF">
      <w:pPr>
        <w:spacing w:line="240" w:lineRule="auto"/>
        <w:rPr>
          <w:i/>
          <w:sz w:val="24"/>
          <w:szCs w:val="24"/>
          <w:highlight w:val="white"/>
        </w:rPr>
      </w:pPr>
      <w:r>
        <w:rPr>
          <w:sz w:val="24"/>
          <w:szCs w:val="24"/>
          <w:highlight w:val="white"/>
        </w:rPr>
        <w:t xml:space="preserve">First Nations Information Governance Centre. (2021, February 26). </w:t>
      </w:r>
      <w:r>
        <w:rPr>
          <w:i/>
          <w:sz w:val="24"/>
          <w:szCs w:val="24"/>
          <w:highlight w:val="white"/>
        </w:rPr>
        <w:t>The First Nations</w:t>
      </w:r>
    </w:p>
    <w:p w14:paraId="4606F7CE" w14:textId="77777777" w:rsidR="00B05D78" w:rsidRDefault="00B0694D" w:rsidP="00CC70EF">
      <w:pPr>
        <w:spacing w:line="240" w:lineRule="auto"/>
        <w:ind w:left="720"/>
        <w:rPr>
          <w:sz w:val="24"/>
          <w:szCs w:val="24"/>
          <w:highlight w:val="white"/>
        </w:rPr>
      </w:pPr>
      <w:r>
        <w:rPr>
          <w:i/>
          <w:sz w:val="24"/>
          <w:szCs w:val="24"/>
          <w:highlight w:val="white"/>
        </w:rPr>
        <w:t>Principles of OCAP®</w:t>
      </w:r>
      <w:r>
        <w:rPr>
          <w:sz w:val="24"/>
          <w:szCs w:val="24"/>
          <w:highlight w:val="white"/>
        </w:rPr>
        <w:t>.</w:t>
      </w:r>
      <w:hyperlink r:id="rId53">
        <w:r>
          <w:rPr>
            <w:color w:val="1155CC"/>
            <w:sz w:val="24"/>
            <w:szCs w:val="24"/>
            <w:highlight w:val="white"/>
            <w:u w:val="single"/>
          </w:rPr>
          <w:t xml:space="preserve"> https://fnigc.ca/ocap-training/</w:t>
        </w:r>
      </w:hyperlink>
      <w:r>
        <w:rPr>
          <w:sz w:val="24"/>
          <w:szCs w:val="24"/>
          <w:highlight w:val="white"/>
        </w:rPr>
        <w:t xml:space="preserve">. </w:t>
      </w:r>
    </w:p>
    <w:p w14:paraId="145D868F" w14:textId="77777777" w:rsidR="00B05D78" w:rsidRDefault="00B05D78" w:rsidP="00CC70EF">
      <w:pPr>
        <w:spacing w:line="240" w:lineRule="auto"/>
        <w:ind w:left="720"/>
        <w:rPr>
          <w:sz w:val="24"/>
          <w:szCs w:val="24"/>
          <w:highlight w:val="white"/>
        </w:rPr>
      </w:pPr>
    </w:p>
    <w:p w14:paraId="62FFE4ED" w14:textId="77777777" w:rsidR="00B05D78" w:rsidRDefault="00B0694D" w:rsidP="00CC70EF">
      <w:pPr>
        <w:spacing w:line="240" w:lineRule="auto"/>
        <w:rPr>
          <w:i/>
          <w:sz w:val="24"/>
          <w:szCs w:val="24"/>
        </w:rPr>
      </w:pPr>
      <w:r>
        <w:rPr>
          <w:sz w:val="24"/>
          <w:szCs w:val="24"/>
        </w:rPr>
        <w:t xml:space="preserve">Fitzgerald, M., &amp; Hill, F. (n.d.). </w:t>
      </w:r>
      <w:r>
        <w:rPr>
          <w:i/>
          <w:sz w:val="24"/>
          <w:szCs w:val="24"/>
        </w:rPr>
        <w:t>Nutrition North Canada: Real change is yet to come.</w:t>
      </w:r>
    </w:p>
    <w:p w14:paraId="0DFE5528" w14:textId="77777777" w:rsidR="00B05D78" w:rsidRDefault="00B0694D" w:rsidP="00CC70EF">
      <w:pPr>
        <w:spacing w:line="240" w:lineRule="auto"/>
        <w:ind w:left="720"/>
        <w:rPr>
          <w:sz w:val="24"/>
          <w:szCs w:val="24"/>
          <w:highlight w:val="white"/>
        </w:rPr>
      </w:pPr>
      <w:r>
        <w:rPr>
          <w:sz w:val="24"/>
          <w:szCs w:val="24"/>
        </w:rPr>
        <w:t xml:space="preserve">Northern Public Affairs. </w:t>
      </w:r>
      <w:hyperlink r:id="rId54">
        <w:r>
          <w:rPr>
            <w:color w:val="1155CC"/>
            <w:sz w:val="24"/>
            <w:szCs w:val="24"/>
            <w:u w:val="single"/>
          </w:rPr>
          <w:t>http://www.northernpublicaffairs.ca/index/volume-5-issue- 1/nutrition-north-</w:t>
        </w:r>
        <w:proofErr w:type="spellStart"/>
        <w:r>
          <w:rPr>
            <w:color w:val="1155CC"/>
            <w:sz w:val="24"/>
            <w:szCs w:val="24"/>
            <w:u w:val="single"/>
          </w:rPr>
          <w:t>canada</w:t>
        </w:r>
        <w:proofErr w:type="spellEnd"/>
        <w:r>
          <w:rPr>
            <w:color w:val="1155CC"/>
            <w:sz w:val="24"/>
            <w:szCs w:val="24"/>
            <w:u w:val="single"/>
          </w:rPr>
          <w:t>-real-change-is-yet-to-come/</w:t>
        </w:r>
      </w:hyperlink>
    </w:p>
    <w:p w14:paraId="71159913" w14:textId="77777777" w:rsidR="00BD35F9" w:rsidRDefault="00BD35F9" w:rsidP="00CC70EF">
      <w:pPr>
        <w:spacing w:line="240" w:lineRule="auto"/>
        <w:ind w:left="720" w:hanging="720"/>
        <w:rPr>
          <w:sz w:val="24"/>
          <w:szCs w:val="24"/>
        </w:rPr>
      </w:pPr>
    </w:p>
    <w:p w14:paraId="649E5AEC" w14:textId="77777777" w:rsidR="00B05D78" w:rsidRDefault="00B0694D" w:rsidP="00CC70EF">
      <w:pPr>
        <w:spacing w:line="240" w:lineRule="auto"/>
        <w:ind w:left="720" w:hanging="720"/>
        <w:rPr>
          <w:sz w:val="24"/>
          <w:szCs w:val="24"/>
        </w:rPr>
      </w:pPr>
      <w:r>
        <w:rPr>
          <w:sz w:val="24"/>
          <w:szCs w:val="24"/>
        </w:rPr>
        <w:t xml:space="preserve">Food Secure Canada (2018, March 23). </w:t>
      </w:r>
      <w:r>
        <w:rPr>
          <w:i/>
          <w:sz w:val="24"/>
          <w:szCs w:val="24"/>
        </w:rPr>
        <w:t>What is Food Sovereignty</w:t>
      </w:r>
      <w:r>
        <w:rPr>
          <w:sz w:val="24"/>
          <w:szCs w:val="24"/>
        </w:rPr>
        <w:t xml:space="preserve">. </w:t>
      </w:r>
      <w:hyperlink r:id="rId55">
        <w:r>
          <w:rPr>
            <w:color w:val="1155CC"/>
            <w:sz w:val="24"/>
            <w:szCs w:val="24"/>
            <w:u w:val="single"/>
          </w:rPr>
          <w:t>https://foodsecureca nada.org/who-we-are/what-food-sovereignty</w:t>
        </w:r>
      </w:hyperlink>
    </w:p>
    <w:p w14:paraId="2A12F4AA" w14:textId="77777777" w:rsidR="00BD35F9" w:rsidRDefault="00BD35F9" w:rsidP="00CC70EF">
      <w:pPr>
        <w:spacing w:line="240" w:lineRule="auto"/>
        <w:rPr>
          <w:sz w:val="24"/>
          <w:szCs w:val="24"/>
        </w:rPr>
      </w:pPr>
    </w:p>
    <w:p w14:paraId="3440EAEF" w14:textId="77777777" w:rsidR="00B05D78" w:rsidRDefault="00B0694D" w:rsidP="00CC70EF">
      <w:pPr>
        <w:spacing w:line="240" w:lineRule="auto"/>
        <w:rPr>
          <w:sz w:val="24"/>
          <w:szCs w:val="24"/>
        </w:rPr>
      </w:pPr>
      <w:r>
        <w:rPr>
          <w:sz w:val="24"/>
          <w:szCs w:val="24"/>
        </w:rPr>
        <w:t xml:space="preserve">Food Secure Canada. (2019, April 26). </w:t>
      </w:r>
      <w:r>
        <w:rPr>
          <w:i/>
          <w:sz w:val="24"/>
          <w:szCs w:val="24"/>
        </w:rPr>
        <w:t>Why a National Food Policy in Canada matters?</w:t>
      </w:r>
      <w:r>
        <w:rPr>
          <w:sz w:val="24"/>
          <w:szCs w:val="24"/>
        </w:rPr>
        <w:t xml:space="preserve"> </w:t>
      </w:r>
    </w:p>
    <w:p w14:paraId="3981B01C" w14:textId="77777777" w:rsidR="00B05D78" w:rsidRDefault="00A123AB" w:rsidP="00CC70EF">
      <w:pPr>
        <w:spacing w:line="240" w:lineRule="auto"/>
        <w:ind w:left="720"/>
        <w:rPr>
          <w:sz w:val="24"/>
          <w:szCs w:val="24"/>
        </w:rPr>
      </w:pPr>
      <w:hyperlink r:id="rId56">
        <w:r w:rsidR="00B0694D">
          <w:rPr>
            <w:color w:val="1155CC"/>
            <w:sz w:val="24"/>
            <w:szCs w:val="24"/>
            <w:u w:val="single"/>
          </w:rPr>
          <w:t xml:space="preserve">https://foodsecurecanada.org/resources-news/news-media/national-food-policy-primer </w:t>
        </w:r>
      </w:hyperlink>
    </w:p>
    <w:p w14:paraId="3F4E017B" w14:textId="77777777" w:rsidR="00BD35F9" w:rsidRDefault="00BD35F9" w:rsidP="00CC70EF">
      <w:pPr>
        <w:spacing w:line="240" w:lineRule="auto"/>
        <w:ind w:left="720" w:hanging="720"/>
        <w:rPr>
          <w:sz w:val="24"/>
          <w:szCs w:val="24"/>
        </w:rPr>
      </w:pPr>
    </w:p>
    <w:p w14:paraId="2E9BA753" w14:textId="77777777" w:rsidR="00B05D78" w:rsidRDefault="00B0694D" w:rsidP="00CC70EF">
      <w:pPr>
        <w:spacing w:line="240" w:lineRule="auto"/>
        <w:ind w:left="720" w:hanging="720"/>
        <w:rPr>
          <w:sz w:val="24"/>
          <w:szCs w:val="24"/>
          <w:highlight w:val="white"/>
        </w:rPr>
      </w:pPr>
      <w:r>
        <w:rPr>
          <w:sz w:val="24"/>
          <w:szCs w:val="24"/>
        </w:rPr>
        <w:t xml:space="preserve">Food Secure Canada. (n.d.). </w:t>
      </w:r>
      <w:r>
        <w:rPr>
          <w:i/>
          <w:sz w:val="24"/>
          <w:szCs w:val="24"/>
        </w:rPr>
        <w:t xml:space="preserve">Discussion Paper 3 Access to Food in Urban Communities. </w:t>
      </w:r>
      <w:hyperlink r:id="rId57">
        <w:r>
          <w:rPr>
            <w:color w:val="1155CC"/>
            <w:sz w:val="24"/>
            <w:szCs w:val="24"/>
            <w:u w:val="single"/>
          </w:rPr>
          <w:t>https://foodsecurecanada.org/resources-news/newsletters/3-acces s-food-urban-communities</w:t>
        </w:r>
      </w:hyperlink>
    </w:p>
    <w:p w14:paraId="246ED440" w14:textId="77777777" w:rsidR="00BD35F9" w:rsidRDefault="00BD35F9" w:rsidP="00CC70EF">
      <w:pPr>
        <w:widowControl w:val="0"/>
        <w:spacing w:line="240" w:lineRule="auto"/>
        <w:rPr>
          <w:sz w:val="24"/>
          <w:szCs w:val="24"/>
        </w:rPr>
      </w:pPr>
    </w:p>
    <w:p w14:paraId="4AD15E76" w14:textId="77777777" w:rsidR="00B05D78" w:rsidRDefault="00B0694D" w:rsidP="00CC70EF">
      <w:pPr>
        <w:widowControl w:val="0"/>
        <w:spacing w:line="240" w:lineRule="auto"/>
        <w:rPr>
          <w:i/>
          <w:sz w:val="24"/>
          <w:szCs w:val="24"/>
        </w:rPr>
      </w:pPr>
      <w:r>
        <w:rPr>
          <w:sz w:val="24"/>
          <w:szCs w:val="24"/>
        </w:rPr>
        <w:t xml:space="preserve">Government of British Columbia. (n.d.). </w:t>
      </w:r>
      <w:r>
        <w:rPr>
          <w:i/>
          <w:sz w:val="24"/>
          <w:szCs w:val="24"/>
        </w:rPr>
        <w:t xml:space="preserve">BC farmers’ food donation corporate income </w:t>
      </w:r>
    </w:p>
    <w:p w14:paraId="5D21AC15" w14:textId="77777777" w:rsidR="00B05D78" w:rsidRDefault="00B0694D" w:rsidP="00CC70EF">
      <w:pPr>
        <w:widowControl w:val="0"/>
        <w:spacing w:line="240" w:lineRule="auto"/>
        <w:ind w:left="720"/>
        <w:rPr>
          <w:sz w:val="24"/>
          <w:szCs w:val="24"/>
        </w:rPr>
      </w:pPr>
      <w:r>
        <w:rPr>
          <w:i/>
          <w:sz w:val="24"/>
          <w:szCs w:val="24"/>
        </w:rPr>
        <w:t xml:space="preserve">tax credit. </w:t>
      </w:r>
      <w:r>
        <w:rPr>
          <w:sz w:val="24"/>
          <w:szCs w:val="24"/>
        </w:rPr>
        <w:t xml:space="preserve">Retrieved April 24, 2021, from </w:t>
      </w:r>
      <w:hyperlink r:id="rId58">
        <w:r>
          <w:rPr>
            <w:color w:val="1155CC"/>
            <w:sz w:val="24"/>
            <w:szCs w:val="24"/>
            <w:u w:val="single"/>
          </w:rPr>
          <w:t>https://www2.gov.bc.ca/gov/content/ taxes/income-taxes/personal/credits/farmers-food-donation</w:t>
        </w:r>
      </w:hyperlink>
    </w:p>
    <w:p w14:paraId="6FD38BF3" w14:textId="77777777" w:rsidR="00B05D78" w:rsidRDefault="00B05D78" w:rsidP="00CC70EF">
      <w:pPr>
        <w:widowControl w:val="0"/>
        <w:spacing w:line="240" w:lineRule="auto"/>
        <w:ind w:left="720"/>
        <w:rPr>
          <w:sz w:val="24"/>
          <w:szCs w:val="24"/>
        </w:rPr>
      </w:pPr>
    </w:p>
    <w:p w14:paraId="21ACDFD1" w14:textId="77777777" w:rsidR="00CC70EF" w:rsidRDefault="00B0694D" w:rsidP="00CC70EF">
      <w:pPr>
        <w:spacing w:line="240" w:lineRule="auto"/>
        <w:rPr>
          <w:sz w:val="24"/>
          <w:szCs w:val="24"/>
        </w:rPr>
      </w:pPr>
      <w:r>
        <w:rPr>
          <w:sz w:val="24"/>
          <w:szCs w:val="24"/>
        </w:rPr>
        <w:t xml:space="preserve">Government of Canada. (2020a). </w:t>
      </w:r>
      <w:r>
        <w:rPr>
          <w:i/>
          <w:sz w:val="24"/>
          <w:szCs w:val="24"/>
        </w:rPr>
        <w:t>The food policy for Canada</w:t>
      </w:r>
      <w:r>
        <w:rPr>
          <w:sz w:val="24"/>
          <w:szCs w:val="24"/>
        </w:rPr>
        <w:t>.</w:t>
      </w:r>
    </w:p>
    <w:p w14:paraId="00131631" w14:textId="77777777" w:rsidR="00B05D78" w:rsidRDefault="00A123AB" w:rsidP="00CC70EF">
      <w:pPr>
        <w:spacing w:line="240" w:lineRule="auto"/>
        <w:ind w:left="720"/>
        <w:rPr>
          <w:sz w:val="24"/>
          <w:szCs w:val="24"/>
        </w:rPr>
      </w:pPr>
      <w:hyperlink r:id="rId59" w:history="1">
        <w:r w:rsidR="00CC70EF" w:rsidRPr="00B80BE9">
          <w:rPr>
            <w:rStyle w:val="Hyperlink"/>
            <w:sz w:val="24"/>
            <w:szCs w:val="24"/>
          </w:rPr>
          <w:t>https://www.agr.gc.ca/eng/about-our-department/key-departmental-initiatives/food-policy/the-food-policy-for-canada/?id=1597863791042</w:t>
        </w:r>
      </w:hyperlink>
    </w:p>
    <w:p w14:paraId="7747114A" w14:textId="77777777" w:rsidR="00B05D78" w:rsidRDefault="00B05D78" w:rsidP="00CC70EF">
      <w:pPr>
        <w:spacing w:line="240" w:lineRule="auto"/>
        <w:rPr>
          <w:sz w:val="24"/>
          <w:szCs w:val="24"/>
        </w:rPr>
      </w:pPr>
    </w:p>
    <w:p w14:paraId="7C6F4CA0" w14:textId="77777777" w:rsidR="00B05D78" w:rsidRDefault="00B0694D" w:rsidP="00CC70EF">
      <w:pPr>
        <w:spacing w:line="240" w:lineRule="auto"/>
        <w:rPr>
          <w:sz w:val="24"/>
          <w:szCs w:val="24"/>
        </w:rPr>
      </w:pPr>
      <w:r>
        <w:rPr>
          <w:sz w:val="24"/>
          <w:szCs w:val="24"/>
        </w:rPr>
        <w:t xml:space="preserve">Government of Canada. (2020b). </w:t>
      </w:r>
      <w:r>
        <w:rPr>
          <w:i/>
          <w:sz w:val="24"/>
          <w:szCs w:val="24"/>
        </w:rPr>
        <w:t>How nutrition north Canada works.</w:t>
      </w:r>
      <w:r>
        <w:rPr>
          <w:sz w:val="24"/>
          <w:szCs w:val="24"/>
        </w:rPr>
        <w:t xml:space="preserve"> Retrieved from </w:t>
      </w:r>
    </w:p>
    <w:p w14:paraId="54DB90A2" w14:textId="77777777" w:rsidR="00B05D78" w:rsidRDefault="00A123AB" w:rsidP="00CC70EF">
      <w:pPr>
        <w:spacing w:line="240" w:lineRule="auto"/>
        <w:ind w:firstLine="720"/>
        <w:rPr>
          <w:sz w:val="24"/>
          <w:szCs w:val="24"/>
        </w:rPr>
      </w:pPr>
      <w:hyperlink r:id="rId60">
        <w:r w:rsidR="00B0694D">
          <w:rPr>
            <w:color w:val="1155CC"/>
            <w:sz w:val="24"/>
            <w:szCs w:val="24"/>
            <w:u w:val="single"/>
          </w:rPr>
          <w:t>https://www.nutritionnorthcanada.gc.ca/eng/1415538638170/1415538670874</w:t>
        </w:r>
      </w:hyperlink>
    </w:p>
    <w:p w14:paraId="06487018" w14:textId="77777777" w:rsidR="00CC70EF" w:rsidRDefault="00CC70EF" w:rsidP="00CC70EF">
      <w:pPr>
        <w:widowControl w:val="0"/>
        <w:spacing w:line="240" w:lineRule="auto"/>
        <w:rPr>
          <w:sz w:val="24"/>
          <w:szCs w:val="24"/>
        </w:rPr>
      </w:pPr>
    </w:p>
    <w:p w14:paraId="24010902" w14:textId="77777777" w:rsidR="00B05D78" w:rsidRDefault="00B0694D" w:rsidP="00CC70EF">
      <w:pPr>
        <w:widowControl w:val="0"/>
        <w:spacing w:line="240" w:lineRule="auto"/>
        <w:rPr>
          <w:i/>
          <w:sz w:val="24"/>
          <w:szCs w:val="24"/>
        </w:rPr>
      </w:pPr>
      <w:r>
        <w:rPr>
          <w:sz w:val="24"/>
          <w:szCs w:val="24"/>
        </w:rPr>
        <w:t xml:space="preserve">Government of Canada. (2021, May 10). </w:t>
      </w:r>
      <w:r>
        <w:rPr>
          <w:i/>
          <w:sz w:val="24"/>
          <w:szCs w:val="24"/>
        </w:rPr>
        <w:t xml:space="preserve">Implementing the United Nations Declaration </w:t>
      </w:r>
    </w:p>
    <w:p w14:paraId="56C365B8" w14:textId="77777777" w:rsidR="00B05D78" w:rsidRDefault="00B0694D" w:rsidP="00CC70EF">
      <w:pPr>
        <w:widowControl w:val="0"/>
        <w:spacing w:line="240" w:lineRule="auto"/>
        <w:ind w:left="720"/>
        <w:rPr>
          <w:sz w:val="24"/>
          <w:szCs w:val="24"/>
        </w:rPr>
      </w:pPr>
      <w:r>
        <w:rPr>
          <w:i/>
          <w:sz w:val="24"/>
          <w:szCs w:val="24"/>
        </w:rPr>
        <w:t>on the Rights of Indigenous Peoples in Canada</w:t>
      </w:r>
      <w:r>
        <w:rPr>
          <w:sz w:val="24"/>
          <w:szCs w:val="24"/>
        </w:rPr>
        <w:t xml:space="preserve">. Government of Canada, Department of Justice, Electronic Communications. </w:t>
      </w:r>
      <w:hyperlink r:id="rId61">
        <w:r>
          <w:rPr>
            <w:color w:val="1155CC"/>
            <w:sz w:val="24"/>
            <w:szCs w:val="24"/>
            <w:u w:val="single"/>
          </w:rPr>
          <w:t>https://www.justice.gc.ca/eng /declaration/index.html</w:t>
        </w:r>
      </w:hyperlink>
      <w:r>
        <w:rPr>
          <w:sz w:val="24"/>
          <w:szCs w:val="24"/>
        </w:rPr>
        <w:t xml:space="preserve"> </w:t>
      </w:r>
    </w:p>
    <w:p w14:paraId="21223570" w14:textId="77777777" w:rsidR="00BD35F9" w:rsidRDefault="00BD35F9" w:rsidP="00CC70EF">
      <w:pPr>
        <w:spacing w:line="240" w:lineRule="auto"/>
        <w:rPr>
          <w:sz w:val="24"/>
          <w:szCs w:val="24"/>
          <w:highlight w:val="white"/>
        </w:rPr>
      </w:pPr>
    </w:p>
    <w:p w14:paraId="3868CB40" w14:textId="77777777" w:rsidR="004A4C4E" w:rsidRDefault="004A4C4E" w:rsidP="00CC70EF">
      <w:pPr>
        <w:spacing w:line="240" w:lineRule="auto"/>
        <w:rPr>
          <w:sz w:val="24"/>
          <w:szCs w:val="24"/>
          <w:highlight w:val="white"/>
        </w:rPr>
      </w:pPr>
    </w:p>
    <w:p w14:paraId="274A2D9E" w14:textId="77777777" w:rsidR="00CC70EF" w:rsidRDefault="00B0694D" w:rsidP="00CC70EF">
      <w:pPr>
        <w:spacing w:line="240" w:lineRule="auto"/>
        <w:rPr>
          <w:sz w:val="24"/>
          <w:szCs w:val="24"/>
          <w:highlight w:val="white"/>
        </w:rPr>
      </w:pPr>
      <w:r>
        <w:rPr>
          <w:sz w:val="24"/>
          <w:szCs w:val="24"/>
          <w:highlight w:val="white"/>
        </w:rPr>
        <w:lastRenderedPageBreak/>
        <w:t xml:space="preserve">Grow Local Society. (2014, June 18). </w:t>
      </w:r>
      <w:r>
        <w:rPr>
          <w:i/>
          <w:sz w:val="24"/>
          <w:szCs w:val="24"/>
          <w:highlight w:val="white"/>
        </w:rPr>
        <w:t>Traditional First Nations Food</w:t>
      </w:r>
      <w:r>
        <w:rPr>
          <w:sz w:val="24"/>
          <w:szCs w:val="24"/>
          <w:highlight w:val="white"/>
        </w:rPr>
        <w:t xml:space="preserve">. </w:t>
      </w:r>
    </w:p>
    <w:p w14:paraId="63C4D84B" w14:textId="77777777" w:rsidR="00B05D78" w:rsidRDefault="00A123AB" w:rsidP="00CC70EF">
      <w:pPr>
        <w:spacing w:line="240" w:lineRule="auto"/>
        <w:ind w:left="720"/>
        <w:rPr>
          <w:sz w:val="24"/>
          <w:szCs w:val="24"/>
        </w:rPr>
      </w:pPr>
      <w:hyperlink w:history="1">
        <w:r w:rsidR="00CC70EF" w:rsidRPr="00B80BE9">
          <w:rPr>
            <w:rStyle w:val="Hyperlink"/>
            <w:sz w:val="24"/>
            <w:szCs w:val="24"/>
            <w:highlight w:val="white"/>
          </w:rPr>
          <w:t>http://makebakegro w.com/2014/06/18/traditional-first-nationsfood/#:~:text=The% 20Coast%20Salish%20people%20relied,staples%20of%20the%20coastal%20diet.&amp;text=The%20dried%20salmon%20was%20often,that%20is%20rich%20in%20oil.</w:t>
        </w:r>
      </w:hyperlink>
    </w:p>
    <w:p w14:paraId="11AAA38B" w14:textId="77777777" w:rsidR="00BD35F9" w:rsidRDefault="00BD35F9" w:rsidP="00CC70EF">
      <w:pPr>
        <w:spacing w:line="240" w:lineRule="auto"/>
        <w:rPr>
          <w:sz w:val="24"/>
          <w:szCs w:val="24"/>
        </w:rPr>
      </w:pPr>
    </w:p>
    <w:p w14:paraId="5A50CD5B" w14:textId="77777777" w:rsidR="00B05D78" w:rsidRDefault="00B0694D" w:rsidP="00CC70EF">
      <w:pPr>
        <w:spacing w:line="240" w:lineRule="auto"/>
        <w:rPr>
          <w:sz w:val="24"/>
          <w:szCs w:val="24"/>
        </w:rPr>
      </w:pPr>
      <w:r>
        <w:rPr>
          <w:sz w:val="24"/>
          <w:szCs w:val="24"/>
        </w:rPr>
        <w:t xml:space="preserve">Hanson, E. (n.d.). </w:t>
      </w:r>
      <w:r>
        <w:rPr>
          <w:i/>
          <w:sz w:val="24"/>
          <w:szCs w:val="24"/>
        </w:rPr>
        <w:t>Reserves</w:t>
      </w:r>
      <w:r>
        <w:rPr>
          <w:sz w:val="24"/>
          <w:szCs w:val="24"/>
        </w:rPr>
        <w:t xml:space="preserve">. Indigenous Foundations. </w:t>
      </w:r>
      <w:hyperlink r:id="rId62">
        <w:r>
          <w:rPr>
            <w:color w:val="1155CC"/>
            <w:sz w:val="24"/>
            <w:szCs w:val="24"/>
            <w:u w:val="single"/>
          </w:rPr>
          <w:t>https://indigenousfoundations.</w:t>
        </w:r>
      </w:hyperlink>
    </w:p>
    <w:p w14:paraId="68E30F4C" w14:textId="77777777" w:rsidR="00B05D78" w:rsidRDefault="00A123AB" w:rsidP="00CC70EF">
      <w:pPr>
        <w:spacing w:line="240" w:lineRule="auto"/>
        <w:ind w:firstLine="720"/>
        <w:rPr>
          <w:sz w:val="24"/>
          <w:szCs w:val="24"/>
        </w:rPr>
      </w:pPr>
      <w:hyperlink r:id="rId63">
        <w:r w:rsidR="00B0694D">
          <w:rPr>
            <w:color w:val="1155CC"/>
            <w:sz w:val="24"/>
            <w:szCs w:val="24"/>
            <w:u w:val="single"/>
          </w:rPr>
          <w:t>arts.ubc.ca/reserves/</w:t>
        </w:r>
      </w:hyperlink>
      <w:hyperlink r:id="rId64">
        <w:r w:rsidR="00B0694D">
          <w:rPr>
            <w:color w:val="1155CC"/>
            <w:sz w:val="24"/>
            <w:szCs w:val="24"/>
            <w:u w:val="single"/>
          </w:rPr>
          <w:t xml:space="preserve"> </w:t>
        </w:r>
      </w:hyperlink>
    </w:p>
    <w:p w14:paraId="69CEBE62" w14:textId="77777777" w:rsidR="00B05D78" w:rsidRDefault="00B05D78" w:rsidP="00CC70EF">
      <w:pPr>
        <w:spacing w:line="240" w:lineRule="auto"/>
        <w:ind w:firstLine="720"/>
        <w:rPr>
          <w:sz w:val="24"/>
          <w:szCs w:val="24"/>
        </w:rPr>
      </w:pPr>
    </w:p>
    <w:p w14:paraId="3B6AA565" w14:textId="77777777" w:rsidR="00B05D78" w:rsidRDefault="00B0694D" w:rsidP="00CC70EF">
      <w:pPr>
        <w:spacing w:line="240" w:lineRule="auto"/>
        <w:rPr>
          <w:i/>
          <w:sz w:val="24"/>
          <w:szCs w:val="24"/>
        </w:rPr>
      </w:pPr>
      <w:r>
        <w:rPr>
          <w:sz w:val="24"/>
          <w:szCs w:val="24"/>
        </w:rPr>
        <w:t xml:space="preserve">Indigenous Research Partnerships. (n.d.). </w:t>
      </w:r>
      <w:proofErr w:type="spellStart"/>
      <w:r>
        <w:rPr>
          <w:i/>
          <w:sz w:val="24"/>
          <w:szCs w:val="24"/>
        </w:rPr>
        <w:t>Tu’wusht</w:t>
      </w:r>
      <w:proofErr w:type="spellEnd"/>
      <w:r>
        <w:rPr>
          <w:i/>
          <w:sz w:val="24"/>
          <w:szCs w:val="24"/>
        </w:rPr>
        <w:t xml:space="preserve"> Garden Project – Vancouver Native</w:t>
      </w:r>
    </w:p>
    <w:p w14:paraId="0557EDD6" w14:textId="77777777" w:rsidR="00B05D78" w:rsidRDefault="00B0694D" w:rsidP="00CC70EF">
      <w:pPr>
        <w:spacing w:line="240" w:lineRule="auto"/>
        <w:ind w:left="720"/>
        <w:rPr>
          <w:sz w:val="24"/>
          <w:szCs w:val="24"/>
        </w:rPr>
      </w:pPr>
      <w:r>
        <w:rPr>
          <w:i/>
          <w:sz w:val="24"/>
          <w:szCs w:val="24"/>
        </w:rPr>
        <w:t xml:space="preserve">Health Society. </w:t>
      </w:r>
      <w:r>
        <w:rPr>
          <w:sz w:val="24"/>
          <w:szCs w:val="24"/>
        </w:rPr>
        <w:t xml:space="preserve">The University of British Columbia. </w:t>
      </w:r>
      <w:hyperlink r:id="rId65">
        <w:r>
          <w:rPr>
            <w:color w:val="1155CC"/>
            <w:sz w:val="24"/>
            <w:szCs w:val="24"/>
            <w:u w:val="single"/>
          </w:rPr>
          <w:t>https://aboriginal.landfood.ubc .ca/</w:t>
        </w:r>
        <w:proofErr w:type="spellStart"/>
        <w:r>
          <w:rPr>
            <w:color w:val="1155CC"/>
            <w:sz w:val="24"/>
            <w:szCs w:val="24"/>
            <w:u w:val="single"/>
          </w:rPr>
          <w:t>tuwusht</w:t>
        </w:r>
        <w:proofErr w:type="spellEnd"/>
        <w:r>
          <w:rPr>
            <w:color w:val="1155CC"/>
            <w:sz w:val="24"/>
            <w:szCs w:val="24"/>
            <w:u w:val="single"/>
          </w:rPr>
          <w:t>-garden-project-</w:t>
        </w:r>
        <w:proofErr w:type="spellStart"/>
        <w:r>
          <w:rPr>
            <w:color w:val="1155CC"/>
            <w:sz w:val="24"/>
            <w:szCs w:val="24"/>
            <w:u w:val="single"/>
          </w:rPr>
          <w:t>vancouver</w:t>
        </w:r>
        <w:proofErr w:type="spellEnd"/>
        <w:r>
          <w:rPr>
            <w:color w:val="1155CC"/>
            <w:sz w:val="24"/>
            <w:szCs w:val="24"/>
            <w:u w:val="single"/>
          </w:rPr>
          <w:t>-native-health-society/</w:t>
        </w:r>
      </w:hyperlink>
    </w:p>
    <w:p w14:paraId="194BCB90" w14:textId="77777777" w:rsidR="00B05D78" w:rsidRDefault="00B05D78" w:rsidP="00CC70EF">
      <w:pPr>
        <w:spacing w:line="240" w:lineRule="auto"/>
        <w:rPr>
          <w:sz w:val="24"/>
          <w:szCs w:val="24"/>
        </w:rPr>
      </w:pPr>
    </w:p>
    <w:p w14:paraId="0BCD1C39" w14:textId="77777777" w:rsidR="00B05D78" w:rsidRDefault="00B0694D" w:rsidP="00CC70EF">
      <w:pPr>
        <w:spacing w:line="240" w:lineRule="auto"/>
        <w:rPr>
          <w:sz w:val="24"/>
          <w:szCs w:val="24"/>
        </w:rPr>
      </w:pPr>
      <w:r>
        <w:rPr>
          <w:sz w:val="24"/>
          <w:szCs w:val="24"/>
        </w:rPr>
        <w:t xml:space="preserve">Johnson, S. (n.d.). </w:t>
      </w:r>
      <w:r>
        <w:rPr>
          <w:i/>
          <w:sz w:val="24"/>
          <w:szCs w:val="24"/>
        </w:rPr>
        <w:t>First Nations Traditional Foods Fact Sheets.</w:t>
      </w:r>
      <w:r>
        <w:rPr>
          <w:sz w:val="24"/>
          <w:szCs w:val="24"/>
        </w:rPr>
        <w:t xml:space="preserve"> First Nations Health</w:t>
      </w:r>
    </w:p>
    <w:p w14:paraId="56C06011" w14:textId="77777777" w:rsidR="00B05D78" w:rsidRDefault="00B0694D" w:rsidP="00CC70EF">
      <w:pPr>
        <w:spacing w:line="240" w:lineRule="auto"/>
        <w:ind w:firstLine="720"/>
        <w:rPr>
          <w:sz w:val="24"/>
          <w:szCs w:val="24"/>
        </w:rPr>
      </w:pPr>
      <w:r>
        <w:rPr>
          <w:sz w:val="24"/>
          <w:szCs w:val="24"/>
        </w:rPr>
        <w:t xml:space="preserve">Authority. </w:t>
      </w:r>
      <w:hyperlink r:id="rId66">
        <w:r>
          <w:rPr>
            <w:color w:val="1155CC"/>
            <w:sz w:val="24"/>
            <w:szCs w:val="24"/>
            <w:u w:val="single"/>
          </w:rPr>
          <w:t>https://www.fnha.ca/Documents/Traditional_Food_Fact_Sheets.pdf</w:t>
        </w:r>
      </w:hyperlink>
    </w:p>
    <w:p w14:paraId="2D325035" w14:textId="77777777" w:rsidR="00B05D78" w:rsidRDefault="00B05D78" w:rsidP="00CC70EF">
      <w:pPr>
        <w:spacing w:line="240" w:lineRule="auto"/>
        <w:rPr>
          <w:sz w:val="24"/>
          <w:szCs w:val="24"/>
        </w:rPr>
      </w:pPr>
    </w:p>
    <w:p w14:paraId="7E3BC788" w14:textId="77777777" w:rsidR="00B05D78" w:rsidRDefault="00B0694D" w:rsidP="00CC70EF">
      <w:pPr>
        <w:spacing w:line="240" w:lineRule="auto"/>
        <w:rPr>
          <w:sz w:val="24"/>
          <w:szCs w:val="24"/>
        </w:rPr>
      </w:pPr>
      <w:r>
        <w:rPr>
          <w:sz w:val="24"/>
          <w:szCs w:val="24"/>
        </w:rPr>
        <w:t>Kovach, M. (2009). Indigenous methodologies: Characteristics, conversations, and</w:t>
      </w:r>
    </w:p>
    <w:p w14:paraId="5662BB25" w14:textId="77777777" w:rsidR="00B05D78" w:rsidRDefault="00B0694D" w:rsidP="00CC70EF">
      <w:pPr>
        <w:spacing w:line="240" w:lineRule="auto"/>
        <w:ind w:left="720"/>
        <w:rPr>
          <w:sz w:val="26"/>
          <w:szCs w:val="26"/>
        </w:rPr>
      </w:pPr>
      <w:r>
        <w:rPr>
          <w:sz w:val="24"/>
          <w:szCs w:val="24"/>
        </w:rPr>
        <w:t xml:space="preserve">contexts. University of Toronto Press. </w:t>
      </w:r>
      <w:hyperlink r:id="rId67">
        <w:r>
          <w:rPr>
            <w:color w:val="1155CC"/>
            <w:sz w:val="24"/>
            <w:szCs w:val="24"/>
            <w:u w:val="single"/>
          </w:rPr>
          <w:t xml:space="preserve">https://ebookcentral.proquest.com/lib/ubc/d </w:t>
        </w:r>
        <w:proofErr w:type="spellStart"/>
        <w:r>
          <w:rPr>
            <w:color w:val="1155CC"/>
            <w:sz w:val="24"/>
            <w:szCs w:val="24"/>
            <w:u w:val="single"/>
          </w:rPr>
          <w:t>etail.action?docID</w:t>
        </w:r>
        <w:proofErr w:type="spellEnd"/>
        <w:r>
          <w:rPr>
            <w:color w:val="1155CC"/>
            <w:sz w:val="24"/>
            <w:szCs w:val="24"/>
            <w:u w:val="single"/>
          </w:rPr>
          <w:t>=4672931</w:t>
        </w:r>
      </w:hyperlink>
      <w:r>
        <w:rPr>
          <w:sz w:val="24"/>
          <w:szCs w:val="24"/>
        </w:rPr>
        <w:t xml:space="preserve"> </w:t>
      </w:r>
    </w:p>
    <w:p w14:paraId="24B25555" w14:textId="77777777" w:rsidR="00B05D78" w:rsidRDefault="00B05D78" w:rsidP="00CC70EF">
      <w:pPr>
        <w:spacing w:line="240" w:lineRule="auto"/>
        <w:ind w:firstLine="720"/>
        <w:rPr>
          <w:sz w:val="24"/>
          <w:szCs w:val="24"/>
        </w:rPr>
      </w:pPr>
    </w:p>
    <w:p w14:paraId="68805E04" w14:textId="77777777" w:rsidR="00B05D78" w:rsidRDefault="00B0694D" w:rsidP="00CC70EF">
      <w:pPr>
        <w:spacing w:line="240" w:lineRule="auto"/>
        <w:rPr>
          <w:sz w:val="24"/>
          <w:szCs w:val="24"/>
        </w:rPr>
      </w:pPr>
      <w:r>
        <w:rPr>
          <w:sz w:val="24"/>
          <w:szCs w:val="24"/>
        </w:rPr>
        <w:t xml:space="preserve">Louis, S. (n.d.). </w:t>
      </w:r>
      <w:r>
        <w:rPr>
          <w:i/>
          <w:sz w:val="24"/>
          <w:szCs w:val="24"/>
        </w:rPr>
        <w:t>UBC Indigenous-led garden brings connection amid uncertainty.</w:t>
      </w:r>
      <w:r>
        <w:rPr>
          <w:sz w:val="24"/>
          <w:szCs w:val="24"/>
        </w:rPr>
        <w:t xml:space="preserve"> Salish</w:t>
      </w:r>
    </w:p>
    <w:p w14:paraId="1FA3ABE0" w14:textId="77777777" w:rsidR="00B05D78" w:rsidRDefault="00B0694D" w:rsidP="00CC70EF">
      <w:pPr>
        <w:spacing w:line="240" w:lineRule="auto"/>
        <w:ind w:left="720"/>
        <w:rPr>
          <w:sz w:val="24"/>
          <w:szCs w:val="24"/>
        </w:rPr>
      </w:pPr>
      <w:r>
        <w:rPr>
          <w:sz w:val="24"/>
          <w:szCs w:val="24"/>
        </w:rPr>
        <w:t xml:space="preserve">Sea Sentinel. </w:t>
      </w:r>
      <w:hyperlink r:id="rId68">
        <w:r>
          <w:rPr>
            <w:color w:val="1155CC"/>
            <w:sz w:val="24"/>
            <w:szCs w:val="24"/>
            <w:u w:val="single"/>
          </w:rPr>
          <w:t>https://salishseasentinel.ca/2020/06/ubc-indigenous-led-garden -brings-connection-amid-uncertainty/</w:t>
        </w:r>
      </w:hyperlink>
    </w:p>
    <w:p w14:paraId="650583D8" w14:textId="77777777" w:rsidR="00B05D78" w:rsidRDefault="00B05D78" w:rsidP="00CC70EF">
      <w:pPr>
        <w:spacing w:line="240" w:lineRule="auto"/>
        <w:rPr>
          <w:sz w:val="24"/>
          <w:szCs w:val="24"/>
        </w:rPr>
      </w:pPr>
    </w:p>
    <w:p w14:paraId="1F9FDCA6" w14:textId="77777777" w:rsidR="00B05D78" w:rsidRDefault="00B0694D" w:rsidP="00CC70EF">
      <w:pPr>
        <w:spacing w:line="240" w:lineRule="auto"/>
        <w:rPr>
          <w:i/>
          <w:sz w:val="24"/>
          <w:szCs w:val="24"/>
        </w:rPr>
      </w:pPr>
      <w:proofErr w:type="spellStart"/>
      <w:r>
        <w:rPr>
          <w:sz w:val="24"/>
          <w:szCs w:val="24"/>
        </w:rPr>
        <w:t>Lupick</w:t>
      </w:r>
      <w:proofErr w:type="spellEnd"/>
      <w:r>
        <w:rPr>
          <w:sz w:val="24"/>
          <w:szCs w:val="24"/>
        </w:rPr>
        <w:t xml:space="preserve">, T. (2019, April 8). </w:t>
      </w:r>
      <w:r>
        <w:rPr>
          <w:i/>
          <w:sz w:val="24"/>
          <w:szCs w:val="24"/>
        </w:rPr>
        <w:t>Is Vancouver’s Downtown Eastside still the “poorest postal</w:t>
      </w:r>
    </w:p>
    <w:p w14:paraId="52E0845A" w14:textId="77777777" w:rsidR="00B05D78" w:rsidRDefault="00B0694D" w:rsidP="00CC70EF">
      <w:pPr>
        <w:spacing w:line="240" w:lineRule="auto"/>
        <w:ind w:left="720"/>
        <w:rPr>
          <w:sz w:val="24"/>
          <w:szCs w:val="24"/>
        </w:rPr>
      </w:pPr>
      <w:r>
        <w:rPr>
          <w:i/>
          <w:sz w:val="24"/>
          <w:szCs w:val="24"/>
        </w:rPr>
        <w:t xml:space="preserve">code” in Canada? </w:t>
      </w:r>
      <w:r>
        <w:rPr>
          <w:sz w:val="24"/>
          <w:szCs w:val="24"/>
        </w:rPr>
        <w:t xml:space="preserve">The Georgia Straight. </w:t>
      </w:r>
      <w:hyperlink r:id="rId69">
        <w:r>
          <w:rPr>
            <w:color w:val="1155CC"/>
            <w:sz w:val="24"/>
            <w:szCs w:val="24"/>
            <w:u w:val="single"/>
          </w:rPr>
          <w:t xml:space="preserve">https://www.straight.com/news/1225081/ </w:t>
        </w:r>
      </w:hyperlink>
      <w:hyperlink r:id="rId70">
        <w:proofErr w:type="spellStart"/>
        <w:r>
          <w:rPr>
            <w:color w:val="1155CC"/>
            <w:sz w:val="24"/>
            <w:szCs w:val="24"/>
            <w:u w:val="single"/>
          </w:rPr>
          <w:t>vancouvers</w:t>
        </w:r>
        <w:proofErr w:type="spellEnd"/>
      </w:hyperlink>
      <w:hyperlink r:id="rId71">
        <w:r>
          <w:rPr>
            <w:color w:val="1155CC"/>
            <w:sz w:val="24"/>
            <w:szCs w:val="24"/>
            <w:u w:val="single"/>
          </w:rPr>
          <w:t>-downtown-eastside-still-poorest-postal-code-</w:t>
        </w:r>
        <w:proofErr w:type="spellStart"/>
        <w:r>
          <w:rPr>
            <w:color w:val="1155CC"/>
            <w:sz w:val="24"/>
            <w:szCs w:val="24"/>
            <w:u w:val="single"/>
          </w:rPr>
          <w:t>canada</w:t>
        </w:r>
        <w:proofErr w:type="spellEnd"/>
      </w:hyperlink>
      <w:r>
        <w:rPr>
          <w:sz w:val="24"/>
          <w:szCs w:val="24"/>
        </w:rPr>
        <w:t xml:space="preserve"> </w:t>
      </w:r>
    </w:p>
    <w:p w14:paraId="0A424571" w14:textId="77777777" w:rsidR="00B05D78" w:rsidRDefault="00B05D78" w:rsidP="00CC70EF">
      <w:pPr>
        <w:spacing w:line="240" w:lineRule="auto"/>
        <w:rPr>
          <w:sz w:val="24"/>
          <w:szCs w:val="24"/>
        </w:rPr>
      </w:pPr>
    </w:p>
    <w:p w14:paraId="2B6EC43D" w14:textId="77777777" w:rsidR="00B05D78" w:rsidRDefault="00B0694D" w:rsidP="00CC70EF">
      <w:pPr>
        <w:spacing w:line="240" w:lineRule="auto"/>
        <w:rPr>
          <w:i/>
          <w:sz w:val="24"/>
          <w:szCs w:val="24"/>
        </w:rPr>
      </w:pPr>
      <w:r>
        <w:rPr>
          <w:sz w:val="24"/>
          <w:szCs w:val="24"/>
        </w:rPr>
        <w:t xml:space="preserve">McElroy, J. (2019, December 4). </w:t>
      </w:r>
      <w:r>
        <w:rPr>
          <w:i/>
          <w:sz w:val="24"/>
          <w:szCs w:val="24"/>
        </w:rPr>
        <w:t>Municipalities need more than community gardens to</w:t>
      </w:r>
    </w:p>
    <w:p w14:paraId="536B16E0" w14:textId="77777777" w:rsidR="00B05D78" w:rsidRDefault="00B0694D" w:rsidP="00CC70EF">
      <w:pPr>
        <w:spacing w:line="240" w:lineRule="auto"/>
        <w:ind w:left="720"/>
        <w:rPr>
          <w:sz w:val="24"/>
          <w:szCs w:val="24"/>
        </w:rPr>
      </w:pPr>
      <w:r>
        <w:rPr>
          <w:i/>
          <w:sz w:val="24"/>
          <w:szCs w:val="24"/>
        </w:rPr>
        <w:t xml:space="preserve">fix the food gap, urban planners say. </w:t>
      </w:r>
      <w:r>
        <w:rPr>
          <w:sz w:val="24"/>
          <w:szCs w:val="24"/>
        </w:rPr>
        <w:t xml:space="preserve">CBC. </w:t>
      </w:r>
      <w:hyperlink r:id="rId72">
        <w:r>
          <w:rPr>
            <w:color w:val="1155CC"/>
            <w:sz w:val="24"/>
            <w:szCs w:val="24"/>
            <w:u w:val="single"/>
          </w:rPr>
          <w:t>https://www.cbc.ca/news/canada/ british-columbia/metro-van-cities-food-stability-gap-2019-1.5384000</w:t>
        </w:r>
      </w:hyperlink>
    </w:p>
    <w:p w14:paraId="4E596A7D" w14:textId="77777777" w:rsidR="00B05D78" w:rsidRDefault="00B05D78" w:rsidP="00CC70EF">
      <w:pPr>
        <w:spacing w:line="240" w:lineRule="auto"/>
        <w:ind w:left="720"/>
        <w:rPr>
          <w:sz w:val="24"/>
          <w:szCs w:val="24"/>
        </w:rPr>
      </w:pPr>
    </w:p>
    <w:p w14:paraId="57571274" w14:textId="77777777" w:rsidR="00B05D78" w:rsidRDefault="00B0694D" w:rsidP="00CC70EF">
      <w:pPr>
        <w:spacing w:line="240" w:lineRule="auto"/>
        <w:ind w:left="720" w:hanging="720"/>
        <w:rPr>
          <w:sz w:val="24"/>
          <w:szCs w:val="24"/>
        </w:rPr>
      </w:pPr>
      <w:proofErr w:type="spellStart"/>
      <w:r>
        <w:rPr>
          <w:sz w:val="24"/>
          <w:szCs w:val="24"/>
        </w:rPr>
        <w:t>Molko</w:t>
      </w:r>
      <w:proofErr w:type="spellEnd"/>
      <w:r>
        <w:rPr>
          <w:sz w:val="24"/>
          <w:szCs w:val="24"/>
        </w:rPr>
        <w:t xml:space="preserve">, D. (2019, December 4) </w:t>
      </w:r>
      <w:r>
        <w:rPr>
          <w:i/>
          <w:sz w:val="24"/>
          <w:szCs w:val="24"/>
        </w:rPr>
        <w:t xml:space="preserve">We have effectively turned a blind eye: Who benefits from Vancouver’s community gardens? </w:t>
      </w:r>
      <w:r>
        <w:rPr>
          <w:sz w:val="24"/>
          <w:szCs w:val="24"/>
        </w:rPr>
        <w:t>CTV News.</w:t>
      </w:r>
      <w:hyperlink r:id="rId73">
        <w:r>
          <w:rPr>
            <w:color w:val="1155CC"/>
            <w:sz w:val="24"/>
            <w:szCs w:val="24"/>
            <w:u w:val="single"/>
          </w:rPr>
          <w:t xml:space="preserve"> </w:t>
        </w:r>
      </w:hyperlink>
      <w:hyperlink r:id="rId74">
        <w:r>
          <w:rPr>
            <w:color w:val="1155CC"/>
            <w:sz w:val="24"/>
            <w:szCs w:val="24"/>
            <w:u w:val="single"/>
          </w:rPr>
          <w:t>https://bc.ctvnews.ca/we-have-effectively-turned-a-blind-eye-who-benefits-from-vancouver-s-community-gardens-1.4716103</w:t>
        </w:r>
      </w:hyperlink>
    </w:p>
    <w:p w14:paraId="426BCC33" w14:textId="77777777" w:rsidR="006F6AF6" w:rsidRDefault="006F6AF6" w:rsidP="00CC70EF">
      <w:pPr>
        <w:spacing w:line="240" w:lineRule="auto"/>
        <w:rPr>
          <w:sz w:val="24"/>
          <w:szCs w:val="24"/>
        </w:rPr>
      </w:pPr>
    </w:p>
    <w:p w14:paraId="3C85951F" w14:textId="77777777" w:rsidR="00B05D78" w:rsidRDefault="00B0694D" w:rsidP="00CC70EF">
      <w:pPr>
        <w:spacing w:line="240" w:lineRule="auto"/>
        <w:rPr>
          <w:sz w:val="24"/>
          <w:szCs w:val="24"/>
        </w:rPr>
      </w:pPr>
      <w:r>
        <w:rPr>
          <w:sz w:val="24"/>
          <w:szCs w:val="24"/>
        </w:rPr>
        <w:t xml:space="preserve">National Collaborating Centre for Determinants of Health. (2020). </w:t>
      </w:r>
    </w:p>
    <w:p w14:paraId="6BB6A2DF" w14:textId="77777777" w:rsidR="00B05D78" w:rsidRDefault="00B0694D" w:rsidP="00CC70EF">
      <w:pPr>
        <w:spacing w:line="240" w:lineRule="auto"/>
        <w:ind w:left="720"/>
        <w:rPr>
          <w:sz w:val="24"/>
          <w:szCs w:val="24"/>
        </w:rPr>
      </w:pPr>
      <w:r>
        <w:rPr>
          <w:i/>
          <w:sz w:val="24"/>
          <w:szCs w:val="24"/>
        </w:rPr>
        <w:t>Upstream/downstream</w:t>
      </w:r>
      <w:r>
        <w:rPr>
          <w:sz w:val="24"/>
          <w:szCs w:val="24"/>
        </w:rPr>
        <w:t xml:space="preserve">. </w:t>
      </w:r>
      <w:hyperlink r:id="rId75">
        <w:r>
          <w:rPr>
            <w:color w:val="1155CC"/>
            <w:sz w:val="24"/>
            <w:szCs w:val="24"/>
            <w:u w:val="single"/>
          </w:rPr>
          <w:t>https://nccdh.ca/glossary/entry/upstream-downstream</w:t>
        </w:r>
      </w:hyperlink>
    </w:p>
    <w:p w14:paraId="58933255" w14:textId="77777777" w:rsidR="00BD35F9" w:rsidRDefault="00BD35F9" w:rsidP="00CC70EF">
      <w:pPr>
        <w:spacing w:line="240" w:lineRule="auto"/>
        <w:rPr>
          <w:sz w:val="24"/>
          <w:szCs w:val="24"/>
        </w:rPr>
      </w:pPr>
    </w:p>
    <w:p w14:paraId="21FEC152" w14:textId="77777777" w:rsidR="00B05D78" w:rsidRDefault="00B0694D" w:rsidP="00CC70EF">
      <w:pPr>
        <w:spacing w:line="240" w:lineRule="auto"/>
        <w:rPr>
          <w:i/>
          <w:sz w:val="24"/>
          <w:szCs w:val="24"/>
        </w:rPr>
      </w:pPr>
      <w:r>
        <w:rPr>
          <w:sz w:val="24"/>
          <w:szCs w:val="24"/>
        </w:rPr>
        <w:t xml:space="preserve">Newnham, J. (2005). </w:t>
      </w:r>
      <w:r>
        <w:rPr>
          <w:i/>
          <w:sz w:val="24"/>
          <w:szCs w:val="24"/>
        </w:rPr>
        <w:t>An Overview of Vancouver’s Downtown Eastside for UBC</w:t>
      </w:r>
    </w:p>
    <w:p w14:paraId="454B237B" w14:textId="77777777" w:rsidR="00B05D78" w:rsidRDefault="00B0694D" w:rsidP="00CC70EF">
      <w:pPr>
        <w:spacing w:line="240" w:lineRule="auto"/>
        <w:ind w:firstLine="720"/>
        <w:rPr>
          <w:sz w:val="24"/>
          <w:szCs w:val="24"/>
        </w:rPr>
      </w:pPr>
      <w:r>
        <w:rPr>
          <w:i/>
          <w:sz w:val="24"/>
          <w:szCs w:val="24"/>
        </w:rPr>
        <w:t xml:space="preserve">Learning Exchange Trek Program Participants. </w:t>
      </w:r>
      <w:r>
        <w:rPr>
          <w:sz w:val="24"/>
          <w:szCs w:val="24"/>
        </w:rPr>
        <w:t>UBC Learning Exchange.</w:t>
      </w:r>
    </w:p>
    <w:p w14:paraId="6E9D0477" w14:textId="77777777" w:rsidR="00B05D78" w:rsidRDefault="00A123AB" w:rsidP="00CC70EF">
      <w:pPr>
        <w:spacing w:line="240" w:lineRule="auto"/>
        <w:ind w:firstLine="720"/>
        <w:rPr>
          <w:sz w:val="24"/>
          <w:szCs w:val="24"/>
        </w:rPr>
      </w:pPr>
      <w:hyperlink r:id="rId76">
        <w:r w:rsidR="00B0694D">
          <w:rPr>
            <w:color w:val="1155CC"/>
            <w:sz w:val="24"/>
            <w:szCs w:val="24"/>
            <w:u w:val="single"/>
          </w:rPr>
          <w:t>https://www.learningexchange.ubc.ca/files/2010/11/overviewdtes2016.pdf</w:t>
        </w:r>
      </w:hyperlink>
    </w:p>
    <w:p w14:paraId="18C140D2" w14:textId="77777777" w:rsidR="00B05D78" w:rsidRDefault="00B05D78" w:rsidP="00CC70EF">
      <w:pPr>
        <w:spacing w:line="240" w:lineRule="auto"/>
        <w:rPr>
          <w:sz w:val="24"/>
          <w:szCs w:val="24"/>
        </w:rPr>
      </w:pPr>
    </w:p>
    <w:p w14:paraId="48E067DE" w14:textId="77777777" w:rsidR="002C785F" w:rsidRDefault="002C785F" w:rsidP="00CC70EF">
      <w:pPr>
        <w:widowControl w:val="0"/>
        <w:spacing w:line="240" w:lineRule="auto"/>
        <w:rPr>
          <w:sz w:val="24"/>
          <w:szCs w:val="24"/>
        </w:rPr>
      </w:pPr>
    </w:p>
    <w:p w14:paraId="63FD9699" w14:textId="77777777" w:rsidR="002C785F" w:rsidRDefault="002C785F" w:rsidP="00CC70EF">
      <w:pPr>
        <w:widowControl w:val="0"/>
        <w:spacing w:line="240" w:lineRule="auto"/>
        <w:rPr>
          <w:sz w:val="24"/>
          <w:szCs w:val="24"/>
        </w:rPr>
      </w:pPr>
    </w:p>
    <w:p w14:paraId="12875B74" w14:textId="77777777" w:rsidR="00B05D78" w:rsidRDefault="00B0694D" w:rsidP="00CC70EF">
      <w:pPr>
        <w:widowControl w:val="0"/>
        <w:spacing w:line="240" w:lineRule="auto"/>
        <w:rPr>
          <w:i/>
          <w:sz w:val="24"/>
          <w:szCs w:val="24"/>
        </w:rPr>
      </w:pPr>
      <w:r>
        <w:rPr>
          <w:sz w:val="24"/>
          <w:szCs w:val="24"/>
        </w:rPr>
        <w:lastRenderedPageBreak/>
        <w:t xml:space="preserve">Pawson, C. (2015, November 30). </w:t>
      </w:r>
      <w:r>
        <w:rPr>
          <w:i/>
          <w:sz w:val="24"/>
          <w:szCs w:val="24"/>
        </w:rPr>
        <w:t>Greater Vancouver Food Bank concerned over</w:t>
      </w:r>
    </w:p>
    <w:p w14:paraId="6DCC2BE2" w14:textId="77777777" w:rsidR="00B05D78" w:rsidRDefault="00B0694D" w:rsidP="00CC70EF">
      <w:pPr>
        <w:widowControl w:val="0"/>
        <w:spacing w:line="240" w:lineRule="auto"/>
        <w:ind w:firstLine="720"/>
        <w:rPr>
          <w:sz w:val="24"/>
          <w:szCs w:val="24"/>
        </w:rPr>
      </w:pPr>
      <w:r>
        <w:rPr>
          <w:i/>
          <w:sz w:val="24"/>
          <w:szCs w:val="24"/>
        </w:rPr>
        <w:t>proposed tax incentives for industrial food donations.</w:t>
      </w:r>
      <w:r>
        <w:rPr>
          <w:sz w:val="24"/>
          <w:szCs w:val="24"/>
        </w:rPr>
        <w:t xml:space="preserve"> </w:t>
      </w:r>
    </w:p>
    <w:p w14:paraId="4CBC6686" w14:textId="77777777" w:rsidR="00B05D78" w:rsidRDefault="00A123AB" w:rsidP="00CC70EF">
      <w:pPr>
        <w:widowControl w:val="0"/>
        <w:spacing w:line="240" w:lineRule="auto"/>
        <w:ind w:left="720"/>
        <w:rPr>
          <w:sz w:val="24"/>
          <w:szCs w:val="24"/>
        </w:rPr>
      </w:pPr>
      <w:hyperlink r:id="rId77">
        <w:r w:rsidR="00B0694D">
          <w:rPr>
            <w:color w:val="1155CC"/>
            <w:sz w:val="24"/>
            <w:szCs w:val="24"/>
            <w:u w:val="single"/>
          </w:rPr>
          <w:t>https://www.cbc.ca/news/canada/british-columbia/greater-vancouver-food-bank-concerned-over-tax-incentives-for-industrial-food-donations-1.3341301</w:t>
        </w:r>
      </w:hyperlink>
    </w:p>
    <w:p w14:paraId="72B61265" w14:textId="77777777" w:rsidR="00B05D78" w:rsidRDefault="00B05D78" w:rsidP="00CC70EF">
      <w:pPr>
        <w:widowControl w:val="0"/>
        <w:spacing w:line="240" w:lineRule="auto"/>
        <w:jc w:val="both"/>
        <w:rPr>
          <w:sz w:val="24"/>
          <w:szCs w:val="24"/>
        </w:rPr>
      </w:pPr>
    </w:p>
    <w:p w14:paraId="4DECA639" w14:textId="77777777" w:rsidR="00B05D78" w:rsidRDefault="00B0694D" w:rsidP="00CC70EF">
      <w:pPr>
        <w:widowControl w:val="0"/>
        <w:spacing w:line="240" w:lineRule="auto"/>
        <w:jc w:val="both"/>
        <w:rPr>
          <w:sz w:val="24"/>
          <w:szCs w:val="24"/>
        </w:rPr>
      </w:pPr>
      <w:r>
        <w:rPr>
          <w:sz w:val="24"/>
          <w:szCs w:val="24"/>
        </w:rPr>
        <w:t>PROOF. (n.d.). Household food insecurity in Canada. Retrieved April 05, 2021, from</w:t>
      </w:r>
    </w:p>
    <w:p w14:paraId="0AB1CA87" w14:textId="77777777" w:rsidR="00B05D78" w:rsidRDefault="00A123AB" w:rsidP="00CC70EF">
      <w:pPr>
        <w:widowControl w:val="0"/>
        <w:spacing w:line="240" w:lineRule="auto"/>
        <w:ind w:firstLine="720"/>
        <w:jc w:val="both"/>
        <w:rPr>
          <w:sz w:val="24"/>
          <w:szCs w:val="24"/>
        </w:rPr>
      </w:pPr>
      <w:hyperlink r:id="rId78">
        <w:r w:rsidR="00B0694D">
          <w:rPr>
            <w:color w:val="1155CC"/>
            <w:sz w:val="24"/>
            <w:szCs w:val="24"/>
            <w:u w:val="single"/>
          </w:rPr>
          <w:t>https://proof.utoronto.ca/food-insecurity/</w:t>
        </w:r>
      </w:hyperlink>
    </w:p>
    <w:p w14:paraId="61B34D25" w14:textId="77777777" w:rsidR="00B05D78" w:rsidRDefault="00B05D78" w:rsidP="00CC70EF">
      <w:pPr>
        <w:widowControl w:val="0"/>
        <w:spacing w:line="240" w:lineRule="auto"/>
        <w:jc w:val="both"/>
        <w:rPr>
          <w:sz w:val="24"/>
          <w:szCs w:val="24"/>
        </w:rPr>
      </w:pPr>
    </w:p>
    <w:p w14:paraId="36A375CF" w14:textId="77777777" w:rsidR="00B05D78" w:rsidRDefault="00B0694D" w:rsidP="00CC70EF">
      <w:pPr>
        <w:spacing w:line="240" w:lineRule="auto"/>
        <w:ind w:left="720" w:hanging="720"/>
        <w:rPr>
          <w:sz w:val="24"/>
          <w:szCs w:val="24"/>
          <w:highlight w:val="white"/>
        </w:rPr>
      </w:pPr>
      <w:r>
        <w:rPr>
          <w:sz w:val="24"/>
          <w:szCs w:val="24"/>
          <w:highlight w:val="white"/>
        </w:rPr>
        <w:t xml:space="preserve">Province of British Columbia. (2021). </w:t>
      </w:r>
      <w:r>
        <w:rPr>
          <w:i/>
          <w:sz w:val="24"/>
          <w:szCs w:val="24"/>
          <w:highlight w:val="white"/>
        </w:rPr>
        <w:t>B.C. First Nations &amp; Indigenous People</w:t>
      </w:r>
      <w:r>
        <w:rPr>
          <w:sz w:val="24"/>
          <w:szCs w:val="24"/>
          <w:highlight w:val="white"/>
        </w:rPr>
        <w:t xml:space="preserve">. </w:t>
      </w:r>
      <w:proofErr w:type="spellStart"/>
      <w:r>
        <w:rPr>
          <w:sz w:val="24"/>
          <w:szCs w:val="24"/>
          <w:highlight w:val="white"/>
        </w:rPr>
        <w:t>WelcomeBC</w:t>
      </w:r>
      <w:proofErr w:type="spellEnd"/>
      <w:r>
        <w:rPr>
          <w:sz w:val="24"/>
          <w:szCs w:val="24"/>
          <w:highlight w:val="white"/>
        </w:rPr>
        <w:t xml:space="preserve">. </w:t>
      </w:r>
      <w:hyperlink r:id="rId79">
        <w:r>
          <w:rPr>
            <w:color w:val="1155CC"/>
            <w:sz w:val="24"/>
            <w:szCs w:val="24"/>
            <w:u w:val="single"/>
          </w:rPr>
          <w:t>https://www.welcomebc.ca/Choose-B-C/Explore-British-Columbia /B-C-First-Nations-Indigenous-People</w:t>
        </w:r>
      </w:hyperlink>
      <w:r>
        <w:rPr>
          <w:sz w:val="24"/>
          <w:szCs w:val="24"/>
          <w:highlight w:val="white"/>
        </w:rPr>
        <w:t xml:space="preserve"> </w:t>
      </w:r>
    </w:p>
    <w:p w14:paraId="37EB5938" w14:textId="77777777" w:rsidR="00B05D78" w:rsidRDefault="00B05D78" w:rsidP="00CC70EF">
      <w:pPr>
        <w:spacing w:line="240" w:lineRule="auto"/>
        <w:ind w:left="720" w:hanging="720"/>
        <w:rPr>
          <w:sz w:val="24"/>
          <w:szCs w:val="24"/>
          <w:highlight w:val="white"/>
        </w:rPr>
      </w:pPr>
    </w:p>
    <w:p w14:paraId="5ACA9D12" w14:textId="77777777" w:rsidR="00B05D78" w:rsidRDefault="00B0694D" w:rsidP="00CC70EF">
      <w:pPr>
        <w:spacing w:line="240" w:lineRule="auto"/>
        <w:rPr>
          <w:sz w:val="24"/>
          <w:szCs w:val="24"/>
          <w:highlight w:val="white"/>
        </w:rPr>
      </w:pPr>
      <w:r>
        <w:rPr>
          <w:sz w:val="24"/>
          <w:szCs w:val="24"/>
          <w:highlight w:val="white"/>
        </w:rPr>
        <w:t xml:space="preserve">Queen's University. (n.d.). </w:t>
      </w:r>
      <w:r>
        <w:rPr>
          <w:i/>
          <w:sz w:val="24"/>
          <w:szCs w:val="24"/>
          <w:highlight w:val="white"/>
        </w:rPr>
        <w:t>Elders, Knowledge Keepers, and Cultural Advisors</w:t>
      </w:r>
      <w:r>
        <w:rPr>
          <w:sz w:val="24"/>
          <w:szCs w:val="24"/>
          <w:highlight w:val="white"/>
        </w:rPr>
        <w:t xml:space="preserve">. Office of </w:t>
      </w:r>
    </w:p>
    <w:p w14:paraId="29F8B2AD" w14:textId="77777777" w:rsidR="00B05D78" w:rsidRDefault="00B0694D" w:rsidP="00CC70EF">
      <w:pPr>
        <w:spacing w:line="240" w:lineRule="auto"/>
        <w:ind w:left="720"/>
        <w:rPr>
          <w:sz w:val="24"/>
          <w:szCs w:val="24"/>
          <w:highlight w:val="white"/>
        </w:rPr>
      </w:pPr>
      <w:r>
        <w:rPr>
          <w:sz w:val="24"/>
          <w:szCs w:val="24"/>
          <w:highlight w:val="white"/>
        </w:rPr>
        <w:t xml:space="preserve">Indigenous Initiatives. </w:t>
      </w:r>
      <w:hyperlink r:id="rId80">
        <w:r>
          <w:rPr>
            <w:color w:val="1155CC"/>
            <w:sz w:val="24"/>
            <w:szCs w:val="24"/>
            <w:highlight w:val="white"/>
            <w:u w:val="single"/>
          </w:rPr>
          <w:t xml:space="preserve">https://www.queensu.ca/indigenous/ways-knowing/elders-k </w:t>
        </w:r>
        <w:proofErr w:type="spellStart"/>
        <w:r>
          <w:rPr>
            <w:color w:val="1155CC"/>
            <w:sz w:val="24"/>
            <w:szCs w:val="24"/>
            <w:highlight w:val="white"/>
            <w:u w:val="single"/>
          </w:rPr>
          <w:t>nowledge</w:t>
        </w:r>
        <w:proofErr w:type="spellEnd"/>
        <w:r>
          <w:rPr>
            <w:color w:val="1155CC"/>
            <w:sz w:val="24"/>
            <w:szCs w:val="24"/>
            <w:highlight w:val="white"/>
            <w:u w:val="single"/>
          </w:rPr>
          <w:t>-keepers-and-cultural-advisors</w:t>
        </w:r>
      </w:hyperlink>
      <w:r>
        <w:rPr>
          <w:sz w:val="24"/>
          <w:szCs w:val="24"/>
          <w:highlight w:val="white"/>
        </w:rPr>
        <w:t xml:space="preserve">  </w:t>
      </w:r>
    </w:p>
    <w:p w14:paraId="44EB6958" w14:textId="77777777" w:rsidR="00B05D78" w:rsidRDefault="00B05D78" w:rsidP="00CC70EF">
      <w:pPr>
        <w:spacing w:line="240" w:lineRule="auto"/>
        <w:rPr>
          <w:sz w:val="24"/>
          <w:szCs w:val="24"/>
          <w:highlight w:val="white"/>
        </w:rPr>
      </w:pPr>
    </w:p>
    <w:p w14:paraId="16352E49" w14:textId="77777777" w:rsidR="00B05D78" w:rsidRDefault="00B0694D" w:rsidP="00CC70EF">
      <w:pPr>
        <w:spacing w:line="240" w:lineRule="auto"/>
        <w:rPr>
          <w:sz w:val="24"/>
          <w:szCs w:val="24"/>
          <w:highlight w:val="white"/>
        </w:rPr>
      </w:pPr>
      <w:r>
        <w:rPr>
          <w:sz w:val="24"/>
          <w:szCs w:val="24"/>
          <w:highlight w:val="white"/>
        </w:rPr>
        <w:t xml:space="preserve">Simon Fraser University. (n.d.). </w:t>
      </w:r>
      <w:r>
        <w:rPr>
          <w:i/>
          <w:sz w:val="24"/>
          <w:szCs w:val="24"/>
          <w:highlight w:val="white"/>
        </w:rPr>
        <w:t>The Potlatch Ban.</w:t>
      </w:r>
      <w:r>
        <w:rPr>
          <w:sz w:val="24"/>
          <w:szCs w:val="24"/>
          <w:highlight w:val="white"/>
        </w:rPr>
        <w:t xml:space="preserve"> The Potlatch Ban - The Bill Reid </w:t>
      </w:r>
    </w:p>
    <w:p w14:paraId="113D6DC8" w14:textId="77777777" w:rsidR="00B05D78" w:rsidRPr="00701C93" w:rsidRDefault="00B0694D" w:rsidP="00701C93">
      <w:pPr>
        <w:spacing w:line="240" w:lineRule="auto"/>
        <w:ind w:left="720"/>
        <w:rPr>
          <w:sz w:val="24"/>
          <w:szCs w:val="24"/>
          <w:highlight w:val="white"/>
        </w:rPr>
      </w:pPr>
      <w:r>
        <w:rPr>
          <w:sz w:val="24"/>
          <w:szCs w:val="24"/>
          <w:highlight w:val="white"/>
        </w:rPr>
        <w:t xml:space="preserve">Centre - Simon Fraser University. </w:t>
      </w:r>
      <w:hyperlink r:id="rId81" w:history="1">
        <w:r w:rsidR="0004647D" w:rsidRPr="00B80BE9">
          <w:rPr>
            <w:rStyle w:val="Hyperlink"/>
            <w:sz w:val="24"/>
            <w:szCs w:val="24"/>
            <w:highlight w:val="white"/>
          </w:rPr>
          <w:t>https://www.sfu.ca/brc/online_exhibits /masks-2-0/the-potlatch-ban.html</w:t>
        </w:r>
      </w:hyperlink>
    </w:p>
    <w:p w14:paraId="7CA93B2A" w14:textId="77777777" w:rsidR="00BD35F9" w:rsidRDefault="00BD35F9" w:rsidP="00BD35F9">
      <w:pPr>
        <w:spacing w:line="240" w:lineRule="auto"/>
        <w:rPr>
          <w:sz w:val="24"/>
          <w:szCs w:val="24"/>
        </w:rPr>
      </w:pPr>
    </w:p>
    <w:p w14:paraId="034FAC3A" w14:textId="77777777" w:rsidR="00BD35F9" w:rsidRDefault="00B0694D" w:rsidP="00BD35F9">
      <w:pPr>
        <w:spacing w:line="240" w:lineRule="auto"/>
        <w:rPr>
          <w:sz w:val="24"/>
          <w:szCs w:val="24"/>
        </w:rPr>
      </w:pPr>
      <w:r>
        <w:rPr>
          <w:sz w:val="24"/>
          <w:szCs w:val="24"/>
        </w:rPr>
        <w:t xml:space="preserve">Statistics Canada. (2011, February 7). Archived - from urban areas to population </w:t>
      </w:r>
    </w:p>
    <w:p w14:paraId="228EEB30" w14:textId="77777777" w:rsidR="00B05D78" w:rsidRDefault="00B0694D" w:rsidP="00BD35F9">
      <w:pPr>
        <w:spacing w:line="240" w:lineRule="auto"/>
        <w:ind w:left="720"/>
        <w:rPr>
          <w:sz w:val="24"/>
          <w:szCs w:val="24"/>
          <w:highlight w:val="white"/>
        </w:rPr>
      </w:pPr>
      <w:proofErr w:type="spellStart"/>
      <w:r>
        <w:rPr>
          <w:sz w:val="24"/>
          <w:szCs w:val="24"/>
        </w:rPr>
        <w:t>centres</w:t>
      </w:r>
      <w:proofErr w:type="spellEnd"/>
      <w:r>
        <w:rPr>
          <w:sz w:val="24"/>
          <w:szCs w:val="24"/>
        </w:rPr>
        <w:t xml:space="preserve">. </w:t>
      </w:r>
      <w:hyperlink r:id="rId82" w:history="1">
        <w:r w:rsidR="00BD35F9" w:rsidRPr="00B80BE9">
          <w:rPr>
            <w:rStyle w:val="Hyperlink"/>
            <w:sz w:val="24"/>
            <w:szCs w:val="24"/>
          </w:rPr>
          <w:t>https://www.statcan.gc.ca/eng/subjects/standard/sgc/notice/sgc-06?fbcli d=IwAR0lvD1nCAD_WtUqJQHlILYkLvrZajI6YmHFbFlxFXws3V7JbeJ8C4-IwHI</w:t>
        </w:r>
      </w:hyperlink>
    </w:p>
    <w:p w14:paraId="5FE15A2B" w14:textId="77777777" w:rsidR="00B05D78" w:rsidRDefault="00B05D78" w:rsidP="00CC70EF">
      <w:pPr>
        <w:spacing w:line="240" w:lineRule="auto"/>
        <w:rPr>
          <w:sz w:val="24"/>
          <w:szCs w:val="24"/>
          <w:highlight w:val="white"/>
        </w:rPr>
      </w:pPr>
    </w:p>
    <w:p w14:paraId="634D0A45" w14:textId="77777777" w:rsidR="00B05D78" w:rsidRDefault="00B0694D" w:rsidP="00CC70EF">
      <w:pPr>
        <w:spacing w:line="240" w:lineRule="auto"/>
        <w:rPr>
          <w:sz w:val="24"/>
          <w:szCs w:val="24"/>
          <w:highlight w:val="white"/>
        </w:rPr>
      </w:pPr>
      <w:r>
        <w:rPr>
          <w:sz w:val="24"/>
          <w:szCs w:val="24"/>
          <w:highlight w:val="white"/>
        </w:rPr>
        <w:t xml:space="preserve">Statistics Canada. (2015, November 20). </w:t>
      </w:r>
      <w:r>
        <w:rPr>
          <w:i/>
          <w:sz w:val="24"/>
          <w:szCs w:val="24"/>
          <w:highlight w:val="white"/>
        </w:rPr>
        <w:t>Income</w:t>
      </w:r>
      <w:r>
        <w:rPr>
          <w:sz w:val="24"/>
          <w:szCs w:val="24"/>
          <w:highlight w:val="white"/>
        </w:rPr>
        <w:t xml:space="preserve">. </w:t>
      </w:r>
      <w:hyperlink r:id="rId83">
        <w:r>
          <w:rPr>
            <w:color w:val="1155CC"/>
            <w:sz w:val="24"/>
            <w:szCs w:val="24"/>
            <w:highlight w:val="white"/>
            <w:u w:val="single"/>
          </w:rPr>
          <w:t>https://www150.statcan.gc.ca</w:t>
        </w:r>
      </w:hyperlink>
    </w:p>
    <w:p w14:paraId="1D8FF36D" w14:textId="77777777" w:rsidR="00B05D78" w:rsidRDefault="00A123AB" w:rsidP="00CC70EF">
      <w:pPr>
        <w:spacing w:line="240" w:lineRule="auto"/>
        <w:ind w:firstLine="720"/>
        <w:rPr>
          <w:sz w:val="24"/>
          <w:szCs w:val="24"/>
          <w:highlight w:val="white"/>
        </w:rPr>
      </w:pPr>
      <w:hyperlink r:id="rId84">
        <w:r w:rsidR="00B0694D">
          <w:rPr>
            <w:color w:val="1155CC"/>
            <w:sz w:val="24"/>
            <w:szCs w:val="24"/>
            <w:highlight w:val="white"/>
            <w:u w:val="single"/>
          </w:rPr>
          <w:t>/n1/pub/89-645-x/2010001/income-revenu-eng.htm</w:t>
        </w:r>
      </w:hyperlink>
    </w:p>
    <w:p w14:paraId="367A67D4" w14:textId="77777777" w:rsidR="00B05D78" w:rsidRDefault="00B05D78" w:rsidP="00CC70EF">
      <w:pPr>
        <w:spacing w:line="240" w:lineRule="auto"/>
        <w:rPr>
          <w:sz w:val="24"/>
          <w:szCs w:val="24"/>
          <w:highlight w:val="white"/>
        </w:rPr>
      </w:pPr>
    </w:p>
    <w:p w14:paraId="10EDF195" w14:textId="77777777" w:rsidR="00B05D78" w:rsidRDefault="00B0694D" w:rsidP="00CC70EF">
      <w:pPr>
        <w:spacing w:line="240" w:lineRule="auto"/>
        <w:rPr>
          <w:i/>
          <w:sz w:val="24"/>
          <w:szCs w:val="24"/>
          <w:highlight w:val="white"/>
        </w:rPr>
      </w:pPr>
      <w:r>
        <w:rPr>
          <w:sz w:val="24"/>
          <w:szCs w:val="24"/>
          <w:highlight w:val="white"/>
        </w:rPr>
        <w:t xml:space="preserve">Statistics Canada. (2017). </w:t>
      </w:r>
      <w:r>
        <w:rPr>
          <w:i/>
          <w:sz w:val="24"/>
          <w:szCs w:val="24"/>
          <w:highlight w:val="white"/>
        </w:rPr>
        <w:t xml:space="preserve">Aboriginal peoples in Canada: Key results from the 2016 </w:t>
      </w:r>
    </w:p>
    <w:p w14:paraId="13599223" w14:textId="77777777" w:rsidR="00B05D78" w:rsidRDefault="00B0694D" w:rsidP="00CC70EF">
      <w:pPr>
        <w:spacing w:line="240" w:lineRule="auto"/>
        <w:ind w:left="720"/>
        <w:rPr>
          <w:sz w:val="24"/>
          <w:szCs w:val="24"/>
          <w:highlight w:val="white"/>
        </w:rPr>
      </w:pPr>
      <w:r>
        <w:rPr>
          <w:i/>
          <w:sz w:val="24"/>
          <w:szCs w:val="24"/>
          <w:highlight w:val="white"/>
        </w:rPr>
        <w:t xml:space="preserve">Census. </w:t>
      </w:r>
      <w:hyperlink r:id="rId85">
        <w:r>
          <w:rPr>
            <w:color w:val="1155CC"/>
            <w:sz w:val="24"/>
            <w:szCs w:val="24"/>
            <w:highlight w:val="white"/>
            <w:u w:val="single"/>
          </w:rPr>
          <w:t>https://www150.statcan.gc.ca/n1/daily-quotidien/171025/dq171025a-eng .htm</w:t>
        </w:r>
      </w:hyperlink>
      <w:r>
        <w:rPr>
          <w:sz w:val="24"/>
          <w:szCs w:val="24"/>
          <w:highlight w:val="white"/>
        </w:rPr>
        <w:t xml:space="preserve"> </w:t>
      </w:r>
    </w:p>
    <w:p w14:paraId="6E47F43F" w14:textId="77777777" w:rsidR="00B05D78" w:rsidRDefault="00B05D78" w:rsidP="00CC70EF">
      <w:pPr>
        <w:spacing w:line="240" w:lineRule="auto"/>
        <w:rPr>
          <w:sz w:val="24"/>
          <w:szCs w:val="24"/>
        </w:rPr>
      </w:pPr>
    </w:p>
    <w:p w14:paraId="5972032E" w14:textId="77777777" w:rsidR="00B05D78" w:rsidRDefault="00B0694D" w:rsidP="00CC70EF">
      <w:pPr>
        <w:spacing w:line="240" w:lineRule="auto"/>
        <w:rPr>
          <w:sz w:val="24"/>
          <w:szCs w:val="24"/>
          <w:highlight w:val="white"/>
        </w:rPr>
      </w:pPr>
      <w:r>
        <w:rPr>
          <w:sz w:val="24"/>
          <w:szCs w:val="24"/>
          <w:highlight w:val="white"/>
        </w:rPr>
        <w:t xml:space="preserve">Statistics Canada. (2020, October 20). </w:t>
      </w:r>
      <w:r>
        <w:rPr>
          <w:i/>
          <w:sz w:val="24"/>
          <w:szCs w:val="24"/>
          <w:highlight w:val="white"/>
        </w:rPr>
        <w:t>Impacts on Indigenous Peoples</w:t>
      </w:r>
      <w:r>
        <w:rPr>
          <w:sz w:val="24"/>
          <w:szCs w:val="24"/>
          <w:highlight w:val="white"/>
        </w:rPr>
        <w:t xml:space="preserve">. </w:t>
      </w:r>
    </w:p>
    <w:p w14:paraId="05F0E3F1" w14:textId="77777777" w:rsidR="00B05D78" w:rsidRDefault="00A123AB" w:rsidP="00CC70EF">
      <w:pPr>
        <w:spacing w:line="240" w:lineRule="auto"/>
        <w:ind w:firstLine="720"/>
        <w:rPr>
          <w:sz w:val="24"/>
          <w:szCs w:val="24"/>
          <w:highlight w:val="white"/>
        </w:rPr>
      </w:pPr>
      <w:hyperlink r:id="rId86">
        <w:r w:rsidR="00B0694D">
          <w:rPr>
            <w:color w:val="1155CC"/>
            <w:sz w:val="24"/>
            <w:szCs w:val="24"/>
            <w:highlight w:val="white"/>
            <w:u w:val="single"/>
          </w:rPr>
          <w:t>https://www150.statcan.gc.ca/n1/pub/11-631-x/2020004/s7-eng.htm</w:t>
        </w:r>
      </w:hyperlink>
      <w:r w:rsidR="00B0694D">
        <w:rPr>
          <w:sz w:val="24"/>
          <w:szCs w:val="24"/>
          <w:highlight w:val="white"/>
        </w:rPr>
        <w:t xml:space="preserve"> </w:t>
      </w:r>
    </w:p>
    <w:p w14:paraId="05653B11" w14:textId="77777777" w:rsidR="00B05D78" w:rsidRDefault="00B05D78" w:rsidP="00CC70EF">
      <w:pPr>
        <w:spacing w:line="240" w:lineRule="auto"/>
        <w:rPr>
          <w:sz w:val="24"/>
          <w:szCs w:val="24"/>
          <w:highlight w:val="white"/>
        </w:rPr>
      </w:pPr>
    </w:p>
    <w:p w14:paraId="1797BC97" w14:textId="77777777" w:rsidR="00B05D78" w:rsidRDefault="00B0694D" w:rsidP="00CC70EF">
      <w:pPr>
        <w:spacing w:line="240" w:lineRule="auto"/>
        <w:rPr>
          <w:i/>
          <w:sz w:val="24"/>
          <w:szCs w:val="24"/>
          <w:highlight w:val="white"/>
        </w:rPr>
      </w:pPr>
      <w:r>
        <w:rPr>
          <w:sz w:val="24"/>
          <w:szCs w:val="24"/>
          <w:highlight w:val="white"/>
        </w:rPr>
        <w:t xml:space="preserve">Truth and Reconciliation Commission of Canada. (2015). (rep.). </w:t>
      </w:r>
      <w:r>
        <w:rPr>
          <w:i/>
          <w:sz w:val="24"/>
          <w:szCs w:val="24"/>
          <w:highlight w:val="white"/>
        </w:rPr>
        <w:t xml:space="preserve">Truth and </w:t>
      </w:r>
    </w:p>
    <w:p w14:paraId="332AB649" w14:textId="77777777" w:rsidR="00B05D78" w:rsidRDefault="00B0694D" w:rsidP="00CC70EF">
      <w:pPr>
        <w:spacing w:line="240" w:lineRule="auto"/>
        <w:ind w:left="720"/>
        <w:rPr>
          <w:sz w:val="24"/>
          <w:szCs w:val="24"/>
          <w:highlight w:val="white"/>
        </w:rPr>
      </w:pPr>
      <w:r>
        <w:rPr>
          <w:i/>
          <w:sz w:val="24"/>
          <w:szCs w:val="24"/>
          <w:highlight w:val="white"/>
        </w:rPr>
        <w:t>Reconciliation Commission of Canada: Calls to Action</w:t>
      </w:r>
      <w:r>
        <w:rPr>
          <w:sz w:val="24"/>
          <w:szCs w:val="24"/>
          <w:highlight w:val="white"/>
        </w:rPr>
        <w:t xml:space="preserve">. Truth and Reconciliation Commission of Canada. Retrieved from </w:t>
      </w:r>
      <w:hyperlink r:id="rId87">
        <w:r>
          <w:rPr>
            <w:color w:val="1155CC"/>
            <w:sz w:val="24"/>
            <w:szCs w:val="24"/>
            <w:highlight w:val="white"/>
            <w:u w:val="single"/>
          </w:rPr>
          <w:t xml:space="preserve">http://trc.ca/assets/pdf/Calls_to_Action_ English2.pdf </w:t>
        </w:r>
      </w:hyperlink>
    </w:p>
    <w:p w14:paraId="089FE8A9" w14:textId="77777777" w:rsidR="0004647D" w:rsidRDefault="0004647D" w:rsidP="00CC70EF">
      <w:pPr>
        <w:spacing w:line="240" w:lineRule="auto"/>
        <w:rPr>
          <w:sz w:val="24"/>
          <w:szCs w:val="24"/>
          <w:highlight w:val="white"/>
        </w:rPr>
      </w:pPr>
    </w:p>
    <w:p w14:paraId="79AD6293" w14:textId="77777777" w:rsidR="00B05D78" w:rsidRDefault="00B0694D" w:rsidP="00CC70EF">
      <w:pPr>
        <w:spacing w:line="240" w:lineRule="auto"/>
        <w:rPr>
          <w:sz w:val="24"/>
          <w:szCs w:val="24"/>
          <w:highlight w:val="white"/>
        </w:rPr>
      </w:pPr>
      <w:r>
        <w:rPr>
          <w:sz w:val="24"/>
          <w:szCs w:val="24"/>
          <w:highlight w:val="white"/>
        </w:rPr>
        <w:t xml:space="preserve">Truth and Reconciliation Commission of Canada. (n.d.). Truth and Reconciliation </w:t>
      </w:r>
    </w:p>
    <w:p w14:paraId="0BAB90AD" w14:textId="77777777" w:rsidR="00B05D78" w:rsidRDefault="00B0694D" w:rsidP="00CC70EF">
      <w:pPr>
        <w:spacing w:line="240" w:lineRule="auto"/>
        <w:ind w:left="720"/>
        <w:rPr>
          <w:sz w:val="24"/>
          <w:szCs w:val="24"/>
          <w:highlight w:val="white"/>
        </w:rPr>
      </w:pPr>
      <w:r>
        <w:rPr>
          <w:sz w:val="24"/>
          <w:szCs w:val="24"/>
          <w:highlight w:val="white"/>
        </w:rPr>
        <w:t xml:space="preserve">Commission of Canada (TRC). </w:t>
      </w:r>
      <w:hyperlink r:id="rId88" w:anchor=":~:text=The%20a">
        <w:r>
          <w:rPr>
            <w:color w:val="1155CC"/>
            <w:sz w:val="24"/>
            <w:szCs w:val="24"/>
            <w:highlight w:val="white"/>
            <w:u w:val="single"/>
          </w:rPr>
          <w:t>http://www.trc.ca/about-us.html#:~:text=The%20a greement%20sought%20to%20begin,%2460%2Dmillion%20over%20five%20years.</w:t>
        </w:r>
      </w:hyperlink>
    </w:p>
    <w:p w14:paraId="4FD9E648" w14:textId="77777777" w:rsidR="00B05D78" w:rsidRDefault="00B05D78" w:rsidP="00CC70EF">
      <w:pPr>
        <w:spacing w:line="240" w:lineRule="auto"/>
        <w:rPr>
          <w:sz w:val="24"/>
          <w:szCs w:val="24"/>
        </w:rPr>
      </w:pPr>
    </w:p>
    <w:p w14:paraId="75644327" w14:textId="77777777" w:rsidR="002C785F" w:rsidRDefault="002C785F" w:rsidP="00CC70EF">
      <w:pPr>
        <w:spacing w:line="240" w:lineRule="auto"/>
        <w:rPr>
          <w:sz w:val="24"/>
          <w:szCs w:val="24"/>
        </w:rPr>
      </w:pPr>
    </w:p>
    <w:p w14:paraId="227117B2" w14:textId="77777777" w:rsidR="002C785F" w:rsidRDefault="002C785F" w:rsidP="00CC70EF">
      <w:pPr>
        <w:spacing w:line="240" w:lineRule="auto"/>
        <w:rPr>
          <w:sz w:val="24"/>
          <w:szCs w:val="24"/>
        </w:rPr>
      </w:pPr>
    </w:p>
    <w:p w14:paraId="67A6CA20" w14:textId="77777777" w:rsidR="00B05D78" w:rsidRDefault="00B0694D" w:rsidP="00CC70EF">
      <w:pPr>
        <w:spacing w:line="240" w:lineRule="auto"/>
        <w:rPr>
          <w:i/>
          <w:sz w:val="24"/>
          <w:szCs w:val="24"/>
        </w:rPr>
      </w:pPr>
      <w:r>
        <w:rPr>
          <w:sz w:val="24"/>
          <w:szCs w:val="24"/>
        </w:rPr>
        <w:lastRenderedPageBreak/>
        <w:t xml:space="preserve">United Nations. (n.d.). </w:t>
      </w:r>
      <w:r>
        <w:rPr>
          <w:i/>
          <w:sz w:val="24"/>
          <w:szCs w:val="24"/>
        </w:rPr>
        <w:t xml:space="preserve">United Nations Declaration on the Rights of Indigenous Peoples </w:t>
      </w:r>
    </w:p>
    <w:p w14:paraId="04A50BE4" w14:textId="77777777" w:rsidR="00B05D78" w:rsidRDefault="00B0694D" w:rsidP="004A4C4E">
      <w:pPr>
        <w:spacing w:line="240" w:lineRule="auto"/>
        <w:ind w:left="720"/>
        <w:rPr>
          <w:sz w:val="24"/>
          <w:szCs w:val="24"/>
        </w:rPr>
      </w:pPr>
      <w:r>
        <w:rPr>
          <w:i/>
          <w:sz w:val="24"/>
          <w:szCs w:val="24"/>
        </w:rPr>
        <w:t>For Indigenous Peoples</w:t>
      </w:r>
      <w:r>
        <w:rPr>
          <w:sz w:val="24"/>
          <w:szCs w:val="24"/>
        </w:rPr>
        <w:t xml:space="preserve">. United Nations. </w:t>
      </w:r>
      <w:hyperlink r:id="rId89">
        <w:r>
          <w:rPr>
            <w:color w:val="1155CC"/>
            <w:sz w:val="24"/>
            <w:szCs w:val="24"/>
            <w:u w:val="single"/>
          </w:rPr>
          <w:t>https://www.un.org/development/desa/in digenouspeoples/declaration-on-the-rights-of-indigenous-peoples.html</w:t>
        </w:r>
      </w:hyperlink>
      <w:r>
        <w:rPr>
          <w:sz w:val="24"/>
          <w:szCs w:val="24"/>
        </w:rPr>
        <w:t xml:space="preserve"> </w:t>
      </w:r>
    </w:p>
    <w:p w14:paraId="4AC5CA46" w14:textId="77777777" w:rsidR="002C785F" w:rsidRDefault="002C785F" w:rsidP="00CC70EF">
      <w:pPr>
        <w:spacing w:line="240" w:lineRule="auto"/>
        <w:rPr>
          <w:sz w:val="24"/>
          <w:szCs w:val="24"/>
        </w:rPr>
      </w:pPr>
    </w:p>
    <w:p w14:paraId="20EDABDC" w14:textId="77777777" w:rsidR="00B05D78" w:rsidRDefault="00B0694D" w:rsidP="00CC70EF">
      <w:pPr>
        <w:spacing w:line="240" w:lineRule="auto"/>
        <w:rPr>
          <w:sz w:val="24"/>
          <w:szCs w:val="24"/>
        </w:rPr>
      </w:pPr>
      <w:r>
        <w:rPr>
          <w:sz w:val="24"/>
          <w:szCs w:val="24"/>
        </w:rPr>
        <w:t xml:space="preserve">University of British Columbia. (2019, August 20). </w:t>
      </w:r>
      <w:r>
        <w:rPr>
          <w:i/>
          <w:sz w:val="24"/>
          <w:szCs w:val="24"/>
        </w:rPr>
        <w:t>What is a land acknowledgement?</w:t>
      </w:r>
    </w:p>
    <w:p w14:paraId="58E6D4E3" w14:textId="77777777" w:rsidR="00B05D78" w:rsidRDefault="00B0694D" w:rsidP="00CC70EF">
      <w:pPr>
        <w:spacing w:line="240" w:lineRule="auto"/>
        <w:ind w:firstLine="720"/>
        <w:rPr>
          <w:sz w:val="24"/>
          <w:szCs w:val="24"/>
        </w:rPr>
      </w:pPr>
      <w:r>
        <w:rPr>
          <w:sz w:val="24"/>
          <w:szCs w:val="24"/>
        </w:rPr>
        <w:t xml:space="preserve">Student Services. </w:t>
      </w:r>
      <w:hyperlink r:id="rId90">
        <w:r>
          <w:rPr>
            <w:color w:val="1155CC"/>
            <w:sz w:val="24"/>
            <w:szCs w:val="24"/>
            <w:u w:val="single"/>
          </w:rPr>
          <w:t>https://students.ubc.ca/ubclife/what-land-acknowledgement</w:t>
        </w:r>
      </w:hyperlink>
      <w:r>
        <w:rPr>
          <w:sz w:val="24"/>
          <w:szCs w:val="24"/>
        </w:rPr>
        <w:t xml:space="preserve">. </w:t>
      </w:r>
    </w:p>
    <w:p w14:paraId="2A81EA9F" w14:textId="77777777" w:rsidR="00B05D78" w:rsidRDefault="00B05D78" w:rsidP="00CC70EF">
      <w:pPr>
        <w:spacing w:line="240" w:lineRule="auto"/>
        <w:rPr>
          <w:sz w:val="24"/>
          <w:szCs w:val="24"/>
        </w:rPr>
      </w:pPr>
    </w:p>
    <w:p w14:paraId="5512ADA7" w14:textId="77777777" w:rsidR="00B05D78" w:rsidRDefault="00B0694D" w:rsidP="00CC70EF">
      <w:pPr>
        <w:spacing w:line="240" w:lineRule="auto"/>
        <w:rPr>
          <w:sz w:val="24"/>
          <w:szCs w:val="24"/>
          <w:highlight w:val="white"/>
        </w:rPr>
      </w:pPr>
      <w:r>
        <w:rPr>
          <w:sz w:val="24"/>
          <w:szCs w:val="24"/>
        </w:rPr>
        <w:t xml:space="preserve">Vancouver Aboriginal Health Society. (2021). </w:t>
      </w:r>
      <w:proofErr w:type="spellStart"/>
      <w:r>
        <w:rPr>
          <w:i/>
          <w:sz w:val="24"/>
          <w:szCs w:val="24"/>
        </w:rPr>
        <w:t>Tu’wusht</w:t>
      </w:r>
      <w:proofErr w:type="spellEnd"/>
      <w:r>
        <w:rPr>
          <w:i/>
          <w:sz w:val="24"/>
          <w:szCs w:val="24"/>
        </w:rPr>
        <w:t xml:space="preserve">. </w:t>
      </w:r>
      <w:hyperlink r:id="rId91">
        <w:r>
          <w:rPr>
            <w:color w:val="1155CC"/>
            <w:sz w:val="24"/>
            <w:szCs w:val="24"/>
            <w:u w:val="single"/>
          </w:rPr>
          <w:t>https://vahs.life/tuwusht</w:t>
        </w:r>
      </w:hyperlink>
    </w:p>
    <w:p w14:paraId="489CBBFB" w14:textId="77777777" w:rsidR="00B05D78" w:rsidRDefault="00B05D78" w:rsidP="00CC70EF">
      <w:pPr>
        <w:spacing w:line="240" w:lineRule="auto"/>
        <w:rPr>
          <w:sz w:val="24"/>
          <w:szCs w:val="24"/>
          <w:highlight w:val="white"/>
        </w:rPr>
      </w:pPr>
    </w:p>
    <w:p w14:paraId="3FE45DA2" w14:textId="77777777" w:rsidR="00B05D78" w:rsidRDefault="00B0694D" w:rsidP="00CC70EF">
      <w:pPr>
        <w:spacing w:line="240" w:lineRule="auto"/>
        <w:rPr>
          <w:sz w:val="24"/>
          <w:szCs w:val="24"/>
        </w:rPr>
      </w:pPr>
      <w:r>
        <w:rPr>
          <w:sz w:val="24"/>
          <w:szCs w:val="24"/>
        </w:rPr>
        <w:t xml:space="preserve">World Food Summit. (1996). </w:t>
      </w:r>
      <w:r>
        <w:rPr>
          <w:i/>
          <w:sz w:val="24"/>
          <w:szCs w:val="24"/>
        </w:rPr>
        <w:t>Rome Declaration on World Food Security.</w:t>
      </w:r>
      <w:r>
        <w:rPr>
          <w:sz w:val="24"/>
          <w:szCs w:val="24"/>
        </w:rPr>
        <w:t xml:space="preserve"> </w:t>
      </w:r>
    </w:p>
    <w:p w14:paraId="36E8D456" w14:textId="77777777" w:rsidR="00B05D78" w:rsidRDefault="00A123AB" w:rsidP="00CC70EF">
      <w:pPr>
        <w:spacing w:line="240" w:lineRule="auto"/>
        <w:ind w:firstLine="720"/>
        <w:rPr>
          <w:sz w:val="24"/>
          <w:szCs w:val="24"/>
          <w:highlight w:val="white"/>
        </w:rPr>
      </w:pPr>
      <w:hyperlink r:id="rId92">
        <w:r w:rsidR="00B0694D">
          <w:rPr>
            <w:color w:val="1155CC"/>
            <w:sz w:val="24"/>
            <w:szCs w:val="24"/>
            <w:u w:val="single"/>
          </w:rPr>
          <w:t>http://www.fao.org/3/w3613e/w3613e00.htm</w:t>
        </w:r>
      </w:hyperlink>
    </w:p>
    <w:p w14:paraId="1D26C1D5" w14:textId="77777777" w:rsidR="00B05D78" w:rsidRDefault="00B05D78" w:rsidP="00CC70EF">
      <w:pPr>
        <w:spacing w:line="240" w:lineRule="auto"/>
        <w:rPr>
          <w:sz w:val="24"/>
          <w:szCs w:val="24"/>
        </w:rPr>
      </w:pPr>
    </w:p>
    <w:p w14:paraId="72E6D301" w14:textId="77777777" w:rsidR="00B05D78" w:rsidRDefault="00B0694D" w:rsidP="00CC70EF">
      <w:pPr>
        <w:spacing w:line="240" w:lineRule="auto"/>
        <w:rPr>
          <w:sz w:val="24"/>
          <w:szCs w:val="24"/>
        </w:rPr>
      </w:pPr>
      <w:proofErr w:type="spellStart"/>
      <w:r>
        <w:rPr>
          <w:sz w:val="24"/>
          <w:szCs w:val="24"/>
        </w:rPr>
        <w:t>Zgoda</w:t>
      </w:r>
      <w:proofErr w:type="spellEnd"/>
      <w:r>
        <w:rPr>
          <w:sz w:val="24"/>
          <w:szCs w:val="24"/>
        </w:rPr>
        <w:t xml:space="preserve">, K., Shelly, P., &amp; </w:t>
      </w:r>
      <w:proofErr w:type="spellStart"/>
      <w:r>
        <w:rPr>
          <w:sz w:val="24"/>
          <w:szCs w:val="24"/>
        </w:rPr>
        <w:t>Hitzel</w:t>
      </w:r>
      <w:proofErr w:type="spellEnd"/>
      <w:r>
        <w:rPr>
          <w:sz w:val="24"/>
          <w:szCs w:val="24"/>
        </w:rPr>
        <w:t xml:space="preserve">, S. (2016, October 17). Preventing </w:t>
      </w:r>
      <w:proofErr w:type="spellStart"/>
      <w:r>
        <w:rPr>
          <w:sz w:val="24"/>
          <w:szCs w:val="24"/>
        </w:rPr>
        <w:t>retraumatization</w:t>
      </w:r>
      <w:proofErr w:type="spellEnd"/>
      <w:r>
        <w:rPr>
          <w:sz w:val="24"/>
          <w:szCs w:val="24"/>
        </w:rPr>
        <w:t>:</w:t>
      </w:r>
    </w:p>
    <w:p w14:paraId="1C39CA45" w14:textId="77777777" w:rsidR="00B05D78" w:rsidRDefault="00B0694D" w:rsidP="00CC70EF">
      <w:pPr>
        <w:spacing w:line="240" w:lineRule="auto"/>
        <w:ind w:firstLine="720"/>
        <w:rPr>
          <w:sz w:val="24"/>
          <w:szCs w:val="24"/>
        </w:rPr>
      </w:pPr>
      <w:r>
        <w:rPr>
          <w:sz w:val="24"/>
          <w:szCs w:val="24"/>
        </w:rPr>
        <w:t xml:space="preserve">macro social work approach to trauma-informed practices &amp; policies. </w:t>
      </w:r>
    </w:p>
    <w:p w14:paraId="70118B1C" w14:textId="77777777" w:rsidR="00B05D78" w:rsidRDefault="00A123AB" w:rsidP="00CC70EF">
      <w:pPr>
        <w:spacing w:line="240" w:lineRule="auto"/>
        <w:ind w:left="720"/>
        <w:rPr>
          <w:sz w:val="24"/>
          <w:szCs w:val="24"/>
        </w:rPr>
      </w:pPr>
      <w:hyperlink r:id="rId93">
        <w:r w:rsidR="00B0694D">
          <w:rPr>
            <w:color w:val="1155CC"/>
            <w:sz w:val="24"/>
            <w:szCs w:val="24"/>
            <w:u w:val="single"/>
          </w:rPr>
          <w:t>https://www.socialworker.com/feature-articles/practice/preventing-retraumatization-a-macro-social-work-approach-to-trauma-informed-practices-policies</w:t>
        </w:r>
      </w:hyperlink>
    </w:p>
    <w:p w14:paraId="6C12AD67" w14:textId="77777777" w:rsidR="00B05D78" w:rsidRDefault="00B05D78" w:rsidP="00CC70EF">
      <w:pPr>
        <w:spacing w:line="240" w:lineRule="auto"/>
        <w:rPr>
          <w:sz w:val="24"/>
          <w:szCs w:val="24"/>
        </w:rPr>
      </w:pPr>
    </w:p>
    <w:p w14:paraId="2393288E" w14:textId="77777777" w:rsidR="00B05D78" w:rsidRDefault="00B0694D" w:rsidP="00CC70EF">
      <w:pPr>
        <w:spacing w:line="240" w:lineRule="auto"/>
        <w:rPr>
          <w:b/>
          <w:sz w:val="24"/>
          <w:szCs w:val="24"/>
        </w:rPr>
      </w:pPr>
      <w:r>
        <w:rPr>
          <w:b/>
          <w:sz w:val="24"/>
          <w:szCs w:val="24"/>
        </w:rPr>
        <w:t>Interviews:</w:t>
      </w:r>
    </w:p>
    <w:p w14:paraId="5F8784DC" w14:textId="77777777" w:rsidR="00B05D78" w:rsidRDefault="00B05D78" w:rsidP="00CC70EF">
      <w:pPr>
        <w:spacing w:line="240" w:lineRule="auto"/>
        <w:rPr>
          <w:b/>
          <w:sz w:val="24"/>
          <w:szCs w:val="24"/>
        </w:rPr>
      </w:pPr>
    </w:p>
    <w:p w14:paraId="6D00CB61" w14:textId="77777777" w:rsidR="00B05D78" w:rsidRDefault="00B0694D" w:rsidP="00CC70EF">
      <w:pPr>
        <w:spacing w:line="240" w:lineRule="auto"/>
        <w:rPr>
          <w:sz w:val="24"/>
          <w:szCs w:val="24"/>
        </w:rPr>
      </w:pPr>
      <w:r>
        <w:rPr>
          <w:sz w:val="24"/>
          <w:szCs w:val="24"/>
        </w:rPr>
        <w:t xml:space="preserve">Interviewee 1. UGTS Representative. Interviewed by Tatyana Daniels, Emily Chau, </w:t>
      </w:r>
    </w:p>
    <w:p w14:paraId="528731D0" w14:textId="77777777" w:rsidR="00B05D78" w:rsidRDefault="00B0694D" w:rsidP="00CC70EF">
      <w:pPr>
        <w:spacing w:line="240" w:lineRule="auto"/>
        <w:ind w:firstLine="720"/>
        <w:rPr>
          <w:sz w:val="24"/>
          <w:szCs w:val="24"/>
        </w:rPr>
      </w:pPr>
      <w:r>
        <w:rPr>
          <w:sz w:val="24"/>
          <w:szCs w:val="24"/>
        </w:rPr>
        <w:t>Anika Cheng, Cathy Zhu, February 1st, 2021</w:t>
      </w:r>
    </w:p>
    <w:p w14:paraId="278ECFDB" w14:textId="77777777" w:rsidR="00B05D78" w:rsidRDefault="00B05D78" w:rsidP="00CC70EF">
      <w:pPr>
        <w:spacing w:line="240" w:lineRule="auto"/>
        <w:rPr>
          <w:sz w:val="24"/>
          <w:szCs w:val="24"/>
        </w:rPr>
      </w:pPr>
    </w:p>
    <w:p w14:paraId="2CC8CF7D" w14:textId="77777777" w:rsidR="00B05D78" w:rsidRDefault="00B0694D" w:rsidP="00CC70EF">
      <w:pPr>
        <w:spacing w:line="240" w:lineRule="auto"/>
        <w:rPr>
          <w:sz w:val="24"/>
          <w:szCs w:val="24"/>
        </w:rPr>
      </w:pPr>
      <w:r>
        <w:rPr>
          <w:sz w:val="24"/>
          <w:szCs w:val="24"/>
        </w:rPr>
        <w:t xml:space="preserve">Interviewee 2. </w:t>
      </w:r>
      <w:proofErr w:type="spellStart"/>
      <w:r>
        <w:rPr>
          <w:sz w:val="24"/>
          <w:szCs w:val="24"/>
        </w:rPr>
        <w:t>FoodMesh</w:t>
      </w:r>
      <w:proofErr w:type="spellEnd"/>
      <w:r>
        <w:rPr>
          <w:sz w:val="24"/>
          <w:szCs w:val="24"/>
        </w:rPr>
        <w:t xml:space="preserve"> Representative. Interviewed by Tatyana Daniels, Emily Chau, </w:t>
      </w:r>
    </w:p>
    <w:p w14:paraId="2ECCBA77" w14:textId="77777777" w:rsidR="00B05D78" w:rsidRDefault="00B0694D" w:rsidP="00CC70EF">
      <w:pPr>
        <w:spacing w:line="240" w:lineRule="auto"/>
        <w:ind w:firstLine="720"/>
        <w:rPr>
          <w:sz w:val="24"/>
          <w:szCs w:val="24"/>
        </w:rPr>
      </w:pPr>
      <w:r>
        <w:rPr>
          <w:sz w:val="24"/>
          <w:szCs w:val="24"/>
        </w:rPr>
        <w:t>Anika Cheng, Cathy Zhu, March 1st, 2021</w:t>
      </w:r>
    </w:p>
    <w:p w14:paraId="7F1A28B7" w14:textId="77777777" w:rsidR="00B05D78" w:rsidRDefault="00B05D78" w:rsidP="00CC70EF">
      <w:pPr>
        <w:spacing w:line="240" w:lineRule="auto"/>
        <w:ind w:firstLine="720"/>
        <w:rPr>
          <w:sz w:val="24"/>
          <w:szCs w:val="24"/>
        </w:rPr>
      </w:pPr>
    </w:p>
    <w:p w14:paraId="2998EB3E" w14:textId="77777777" w:rsidR="00B05D78" w:rsidRDefault="00B0694D" w:rsidP="00CC70EF">
      <w:pPr>
        <w:spacing w:line="240" w:lineRule="auto"/>
        <w:rPr>
          <w:sz w:val="24"/>
          <w:szCs w:val="24"/>
        </w:rPr>
      </w:pPr>
      <w:r>
        <w:rPr>
          <w:sz w:val="24"/>
          <w:szCs w:val="24"/>
        </w:rPr>
        <w:t xml:space="preserve">Interviewee 3. UBC Land and Food Systems Professor. Interviewed by Emily Chau, </w:t>
      </w:r>
    </w:p>
    <w:p w14:paraId="6A857F9D" w14:textId="77777777" w:rsidR="00B05D78" w:rsidRDefault="00B0694D" w:rsidP="00CC70EF">
      <w:pPr>
        <w:spacing w:line="240" w:lineRule="auto"/>
        <w:ind w:firstLine="720"/>
        <w:rPr>
          <w:sz w:val="24"/>
          <w:szCs w:val="24"/>
        </w:rPr>
      </w:pPr>
      <w:r>
        <w:rPr>
          <w:sz w:val="24"/>
          <w:szCs w:val="24"/>
        </w:rPr>
        <w:t>Anika Cheng, Cathy Zhu, April 21st, 2021</w:t>
      </w:r>
    </w:p>
    <w:p w14:paraId="1E7D9EED" w14:textId="77777777" w:rsidR="00B05D78" w:rsidRDefault="00B05D78" w:rsidP="00CC70EF">
      <w:pPr>
        <w:spacing w:line="240" w:lineRule="auto"/>
        <w:ind w:firstLine="720"/>
        <w:rPr>
          <w:sz w:val="24"/>
          <w:szCs w:val="24"/>
        </w:rPr>
      </w:pPr>
    </w:p>
    <w:p w14:paraId="5446AB5C" w14:textId="77777777" w:rsidR="00B05D78" w:rsidRDefault="00B0694D" w:rsidP="00CC70EF">
      <w:pPr>
        <w:spacing w:line="240" w:lineRule="auto"/>
        <w:rPr>
          <w:sz w:val="24"/>
          <w:szCs w:val="24"/>
        </w:rPr>
      </w:pPr>
      <w:r>
        <w:rPr>
          <w:sz w:val="24"/>
          <w:szCs w:val="24"/>
        </w:rPr>
        <w:t xml:space="preserve">Interviewee 4. UBC Indigenous Relations Advisor. Interviewed by Emily Chau, Anika </w:t>
      </w:r>
    </w:p>
    <w:p w14:paraId="3628CA47" w14:textId="77777777" w:rsidR="00B05D78" w:rsidRDefault="00B0694D" w:rsidP="00CC70EF">
      <w:pPr>
        <w:spacing w:line="240" w:lineRule="auto"/>
        <w:ind w:firstLine="720"/>
        <w:rPr>
          <w:sz w:val="24"/>
          <w:szCs w:val="24"/>
        </w:rPr>
      </w:pPr>
      <w:r>
        <w:rPr>
          <w:sz w:val="24"/>
          <w:szCs w:val="24"/>
        </w:rPr>
        <w:t>Cheng, Cathy Zhu, April 23rd, 2021</w:t>
      </w:r>
    </w:p>
    <w:p w14:paraId="55E4E82C" w14:textId="77777777" w:rsidR="00B05D78" w:rsidRDefault="00B05D78" w:rsidP="00CC70EF">
      <w:pPr>
        <w:spacing w:line="240" w:lineRule="auto"/>
        <w:ind w:firstLine="720"/>
        <w:rPr>
          <w:sz w:val="24"/>
          <w:szCs w:val="24"/>
        </w:rPr>
      </w:pPr>
    </w:p>
    <w:p w14:paraId="49ABCCC8" w14:textId="77777777" w:rsidR="00B05D78" w:rsidRDefault="00B0694D" w:rsidP="00CC70EF">
      <w:pPr>
        <w:spacing w:line="240" w:lineRule="auto"/>
        <w:rPr>
          <w:sz w:val="24"/>
          <w:szCs w:val="24"/>
        </w:rPr>
      </w:pPr>
      <w:r>
        <w:rPr>
          <w:sz w:val="24"/>
          <w:szCs w:val="24"/>
        </w:rPr>
        <w:t xml:space="preserve">Interviewee 5. BC Community Project Manager. Interviewed by Emily Chau, Anika </w:t>
      </w:r>
    </w:p>
    <w:p w14:paraId="5EDBE49A" w14:textId="77777777" w:rsidR="00B05D78" w:rsidRDefault="00B0694D" w:rsidP="00CC70EF">
      <w:pPr>
        <w:spacing w:line="240" w:lineRule="auto"/>
        <w:ind w:firstLine="720"/>
        <w:rPr>
          <w:sz w:val="24"/>
          <w:szCs w:val="24"/>
        </w:rPr>
      </w:pPr>
      <w:r>
        <w:rPr>
          <w:sz w:val="24"/>
          <w:szCs w:val="24"/>
        </w:rPr>
        <w:t>Cheng, Cathy Zhu, April 23rd, 2021</w:t>
      </w:r>
    </w:p>
    <w:p w14:paraId="34DDE0E1" w14:textId="77777777" w:rsidR="00B05D78" w:rsidRDefault="00B05D78" w:rsidP="00CC70EF">
      <w:pPr>
        <w:spacing w:line="240" w:lineRule="auto"/>
        <w:ind w:firstLine="720"/>
        <w:rPr>
          <w:sz w:val="24"/>
          <w:szCs w:val="24"/>
        </w:rPr>
      </w:pPr>
    </w:p>
    <w:p w14:paraId="3F08F806" w14:textId="77777777" w:rsidR="00B05D78" w:rsidRDefault="00B0694D" w:rsidP="00CC70EF">
      <w:pPr>
        <w:spacing w:line="240" w:lineRule="auto"/>
        <w:rPr>
          <w:sz w:val="24"/>
          <w:szCs w:val="24"/>
        </w:rPr>
      </w:pPr>
      <w:r>
        <w:rPr>
          <w:sz w:val="24"/>
          <w:szCs w:val="24"/>
        </w:rPr>
        <w:t xml:space="preserve">Interviewee 6. SFU Food Systems Professor. Interviewed by Emily Chau, Anika </w:t>
      </w:r>
    </w:p>
    <w:p w14:paraId="561FC150" w14:textId="77777777" w:rsidR="00B05D78" w:rsidRDefault="00B0694D" w:rsidP="00CC70EF">
      <w:pPr>
        <w:spacing w:line="240" w:lineRule="auto"/>
        <w:ind w:firstLine="720"/>
        <w:rPr>
          <w:sz w:val="24"/>
          <w:szCs w:val="24"/>
        </w:rPr>
      </w:pPr>
      <w:r>
        <w:rPr>
          <w:sz w:val="24"/>
          <w:szCs w:val="24"/>
        </w:rPr>
        <w:t>Cheng, Cathy Zhu, May 21st, 2021</w:t>
      </w:r>
    </w:p>
    <w:p w14:paraId="1B4810AD" w14:textId="77777777" w:rsidR="00B05D78" w:rsidRDefault="00B05D78" w:rsidP="00CC70EF">
      <w:pPr>
        <w:spacing w:line="240" w:lineRule="auto"/>
        <w:rPr>
          <w:b/>
          <w:sz w:val="24"/>
          <w:szCs w:val="24"/>
        </w:rPr>
      </w:pPr>
    </w:p>
    <w:p w14:paraId="36B484EE" w14:textId="77777777" w:rsidR="00B05D78" w:rsidRDefault="00B0694D" w:rsidP="00CC70EF">
      <w:pPr>
        <w:spacing w:line="240" w:lineRule="auto"/>
        <w:rPr>
          <w:sz w:val="24"/>
          <w:szCs w:val="24"/>
        </w:rPr>
      </w:pPr>
      <w:r>
        <w:rPr>
          <w:sz w:val="24"/>
          <w:szCs w:val="24"/>
        </w:rPr>
        <w:t xml:space="preserve">Interviewee 7. Grandview Woodland Food Connection Representative. Interviewed by </w:t>
      </w:r>
    </w:p>
    <w:p w14:paraId="465C6E42" w14:textId="77777777" w:rsidR="00B05D78" w:rsidRDefault="00B0694D" w:rsidP="00CC70EF">
      <w:pPr>
        <w:spacing w:line="240" w:lineRule="auto"/>
        <w:ind w:firstLine="720"/>
        <w:rPr>
          <w:sz w:val="24"/>
          <w:szCs w:val="24"/>
        </w:rPr>
      </w:pPr>
      <w:r>
        <w:rPr>
          <w:sz w:val="24"/>
          <w:szCs w:val="24"/>
        </w:rPr>
        <w:t>Emily Chau, Anika Cheng, Cathy Zhu, May 24th, 2021</w:t>
      </w:r>
    </w:p>
    <w:p w14:paraId="62FEC4F9" w14:textId="77777777" w:rsidR="00B05D78" w:rsidRDefault="00B05D78" w:rsidP="00CC70EF">
      <w:pPr>
        <w:spacing w:line="240" w:lineRule="auto"/>
        <w:rPr>
          <w:b/>
          <w:sz w:val="24"/>
          <w:szCs w:val="24"/>
        </w:rPr>
      </w:pPr>
    </w:p>
    <w:p w14:paraId="62D76CFB" w14:textId="77777777" w:rsidR="00B05D78" w:rsidRDefault="00B0694D" w:rsidP="00CC70EF">
      <w:pPr>
        <w:spacing w:line="240" w:lineRule="auto"/>
        <w:rPr>
          <w:sz w:val="24"/>
          <w:szCs w:val="24"/>
        </w:rPr>
      </w:pPr>
      <w:r>
        <w:rPr>
          <w:sz w:val="24"/>
          <w:szCs w:val="24"/>
        </w:rPr>
        <w:t xml:space="preserve">Interviewee 8. VCC Instructor &amp; Indigenous Chef. Interviewed by Emily Chau, Anika </w:t>
      </w:r>
    </w:p>
    <w:p w14:paraId="7D7CC1EE" w14:textId="77777777" w:rsidR="00B05D78" w:rsidRDefault="00B0694D" w:rsidP="00CC70EF">
      <w:pPr>
        <w:spacing w:line="240" w:lineRule="auto"/>
        <w:ind w:firstLine="720"/>
        <w:rPr>
          <w:b/>
          <w:sz w:val="24"/>
          <w:szCs w:val="24"/>
        </w:rPr>
      </w:pPr>
      <w:r>
        <w:rPr>
          <w:sz w:val="24"/>
          <w:szCs w:val="24"/>
        </w:rPr>
        <w:t>Cheng, Cathy Zhu, May 24th, 2021</w:t>
      </w:r>
    </w:p>
    <w:p w14:paraId="3628C51E" w14:textId="77777777" w:rsidR="00BD35F9" w:rsidRDefault="00BD35F9" w:rsidP="00CC70EF">
      <w:pPr>
        <w:spacing w:line="240" w:lineRule="auto"/>
        <w:rPr>
          <w:b/>
          <w:sz w:val="24"/>
          <w:szCs w:val="24"/>
          <w:u w:val="single"/>
        </w:rPr>
      </w:pPr>
    </w:p>
    <w:p w14:paraId="551EDAE7" w14:textId="77777777" w:rsidR="004A4C4E" w:rsidRDefault="004A4C4E" w:rsidP="00CC70EF">
      <w:pPr>
        <w:spacing w:line="240" w:lineRule="auto"/>
        <w:rPr>
          <w:b/>
          <w:sz w:val="24"/>
          <w:szCs w:val="24"/>
          <w:u w:val="single"/>
        </w:rPr>
      </w:pPr>
    </w:p>
    <w:p w14:paraId="1BC0A2F1" w14:textId="77777777" w:rsidR="00B05D78" w:rsidRDefault="00B0694D" w:rsidP="00CC70EF">
      <w:pPr>
        <w:spacing w:line="240" w:lineRule="auto"/>
        <w:rPr>
          <w:b/>
          <w:sz w:val="24"/>
          <w:szCs w:val="24"/>
          <w:u w:val="single"/>
        </w:rPr>
      </w:pPr>
      <w:r>
        <w:rPr>
          <w:b/>
          <w:sz w:val="24"/>
          <w:szCs w:val="24"/>
          <w:u w:val="single"/>
        </w:rPr>
        <w:lastRenderedPageBreak/>
        <w:t xml:space="preserve">Appendix </w:t>
      </w:r>
    </w:p>
    <w:p w14:paraId="4837B4EB" w14:textId="77777777" w:rsidR="00B05D78" w:rsidRDefault="00B0694D" w:rsidP="00CC70EF">
      <w:pPr>
        <w:spacing w:line="240" w:lineRule="auto"/>
        <w:rPr>
          <w:b/>
          <w:sz w:val="24"/>
          <w:szCs w:val="24"/>
        </w:rPr>
      </w:pPr>
      <w:r>
        <w:rPr>
          <w:b/>
          <w:sz w:val="24"/>
          <w:szCs w:val="24"/>
        </w:rPr>
        <w:t>Appendix 1: Glossary of Terms and Definitions</w:t>
      </w:r>
    </w:p>
    <w:p w14:paraId="1C246C25" w14:textId="77777777" w:rsidR="00B05D78" w:rsidRDefault="00B05D78" w:rsidP="00CC70EF">
      <w:pPr>
        <w:spacing w:line="240" w:lineRule="auto"/>
        <w:rPr>
          <w:sz w:val="24"/>
          <w:szCs w:val="24"/>
        </w:rPr>
      </w:pPr>
    </w:p>
    <w:p w14:paraId="3C5599F0" w14:textId="77777777" w:rsidR="00B05D78" w:rsidRDefault="00B0694D" w:rsidP="00CC70EF">
      <w:pPr>
        <w:pStyle w:val="Heading1"/>
        <w:keepNext w:val="0"/>
        <w:keepLines w:val="0"/>
        <w:spacing w:before="0" w:after="0" w:line="240" w:lineRule="auto"/>
        <w:rPr>
          <w:sz w:val="24"/>
          <w:szCs w:val="24"/>
          <w:u w:val="single"/>
        </w:rPr>
      </w:pPr>
      <w:bookmarkStart w:id="1" w:name="_hg9s8deknocg" w:colFirst="0" w:colLast="0"/>
      <w:bookmarkEnd w:id="1"/>
      <w:r>
        <w:rPr>
          <w:b/>
          <w:sz w:val="24"/>
          <w:szCs w:val="24"/>
          <w:highlight w:val="white"/>
          <w:u w:val="single"/>
        </w:rPr>
        <w:t>Terminology</w:t>
      </w:r>
    </w:p>
    <w:p w14:paraId="3AFF6581" w14:textId="77777777" w:rsidR="00B05D78" w:rsidRDefault="00B0694D" w:rsidP="00CC70EF">
      <w:pPr>
        <w:spacing w:line="240" w:lineRule="auto"/>
        <w:rPr>
          <w:sz w:val="24"/>
          <w:szCs w:val="24"/>
          <w:highlight w:val="white"/>
        </w:rPr>
      </w:pPr>
      <w:r>
        <w:rPr>
          <w:b/>
          <w:sz w:val="24"/>
          <w:szCs w:val="24"/>
          <w:highlight w:val="white"/>
        </w:rPr>
        <w:t>Aboriginal</w:t>
      </w:r>
      <w:r>
        <w:rPr>
          <w:sz w:val="24"/>
          <w:szCs w:val="24"/>
          <w:highlight w:val="white"/>
        </w:rPr>
        <w:t xml:space="preserve"> refers to “the first inhabitants of Canada, and includes First Nations, Inuit, and Métis peoples” (First Nations and Indigenous Studies, 2009, section 3).</w:t>
      </w:r>
    </w:p>
    <w:p w14:paraId="72E5CD1E" w14:textId="77777777" w:rsidR="00B05D78" w:rsidRDefault="00B05D78" w:rsidP="00CC70EF">
      <w:pPr>
        <w:spacing w:line="240" w:lineRule="auto"/>
        <w:rPr>
          <w:sz w:val="24"/>
          <w:szCs w:val="24"/>
          <w:highlight w:val="white"/>
        </w:rPr>
      </w:pPr>
    </w:p>
    <w:p w14:paraId="74FAEE22" w14:textId="77777777" w:rsidR="00B05D78" w:rsidRDefault="00B0694D" w:rsidP="00CC70EF">
      <w:pPr>
        <w:spacing w:line="240" w:lineRule="auto"/>
        <w:rPr>
          <w:sz w:val="24"/>
          <w:szCs w:val="24"/>
          <w:highlight w:val="white"/>
        </w:rPr>
      </w:pPr>
      <w:r>
        <w:rPr>
          <w:b/>
          <w:sz w:val="24"/>
          <w:szCs w:val="24"/>
          <w:highlight w:val="white"/>
        </w:rPr>
        <w:t xml:space="preserve">Ancestral </w:t>
      </w:r>
      <w:r>
        <w:rPr>
          <w:sz w:val="24"/>
          <w:szCs w:val="24"/>
          <w:highlight w:val="white"/>
        </w:rPr>
        <w:t>“recognizes land that is handed down from generation to generation” (University of British Columbia, 2019).</w:t>
      </w:r>
    </w:p>
    <w:p w14:paraId="598E8077" w14:textId="77777777" w:rsidR="00B05D78" w:rsidRDefault="00B05D78" w:rsidP="00CC70EF">
      <w:pPr>
        <w:spacing w:line="240" w:lineRule="auto"/>
        <w:rPr>
          <w:sz w:val="24"/>
          <w:szCs w:val="24"/>
          <w:highlight w:val="white"/>
        </w:rPr>
      </w:pPr>
    </w:p>
    <w:p w14:paraId="4AE347A5" w14:textId="77777777" w:rsidR="00B05D78" w:rsidRDefault="00B0694D" w:rsidP="00CC70EF">
      <w:pPr>
        <w:spacing w:line="240" w:lineRule="auto"/>
        <w:rPr>
          <w:sz w:val="24"/>
          <w:szCs w:val="24"/>
          <w:highlight w:val="white"/>
        </w:rPr>
      </w:pPr>
      <w:r>
        <w:rPr>
          <w:b/>
          <w:sz w:val="24"/>
          <w:szCs w:val="24"/>
          <w:highlight w:val="white"/>
        </w:rPr>
        <w:t>Chiefs</w:t>
      </w:r>
      <w:r>
        <w:rPr>
          <w:sz w:val="24"/>
          <w:szCs w:val="24"/>
          <w:highlight w:val="white"/>
        </w:rPr>
        <w:t xml:space="preserve"> are the “leaders of bands, clans and/or First Nations” for many Indigenous cultures in Canada (Robinson, 2018, para. 1). They are “chosen either by group consensus or as a consequence of their ancestry, chiefs hold high positions of authority in their communities. They mainly serve as links between their people and the municipal, provincial and federal governments. Chiefs may also act as cultural and spiritual leaders” (Robinson, 2018, para. 1).</w:t>
      </w:r>
    </w:p>
    <w:p w14:paraId="0C406CCC" w14:textId="77777777" w:rsidR="00B05D78" w:rsidRDefault="00B05D78" w:rsidP="00CC70EF">
      <w:pPr>
        <w:spacing w:line="240" w:lineRule="auto"/>
        <w:rPr>
          <w:sz w:val="24"/>
          <w:szCs w:val="24"/>
          <w:highlight w:val="white"/>
        </w:rPr>
      </w:pPr>
    </w:p>
    <w:p w14:paraId="1E9A7826" w14:textId="77777777" w:rsidR="00B05D78" w:rsidRDefault="00B0694D" w:rsidP="00CC70EF">
      <w:pPr>
        <w:spacing w:line="240" w:lineRule="auto"/>
        <w:rPr>
          <w:b/>
          <w:sz w:val="24"/>
          <w:szCs w:val="24"/>
          <w:highlight w:val="white"/>
        </w:rPr>
      </w:pPr>
      <w:r>
        <w:rPr>
          <w:b/>
          <w:sz w:val="24"/>
          <w:szCs w:val="24"/>
        </w:rPr>
        <w:t>Culturally-Appropriate Foods</w:t>
      </w:r>
      <w:r>
        <w:rPr>
          <w:b/>
          <w:sz w:val="24"/>
          <w:szCs w:val="24"/>
          <w:highlight w:val="white"/>
        </w:rPr>
        <w:t xml:space="preserve"> </w:t>
      </w:r>
      <w:r>
        <w:rPr>
          <w:sz w:val="24"/>
          <w:szCs w:val="24"/>
        </w:rPr>
        <w:t>can be identified as foods that are appropriate and meaningful for an individual or a group of people. Certain foods that are viewed as nutritious for one person or group may be viewed as inappropriate for another person or group (Anderson, 2014, pp. 225-249)</w:t>
      </w:r>
    </w:p>
    <w:p w14:paraId="26FFF976" w14:textId="77777777" w:rsidR="00B05D78" w:rsidRDefault="00B05D78" w:rsidP="00CC70EF">
      <w:pPr>
        <w:spacing w:line="240" w:lineRule="auto"/>
        <w:rPr>
          <w:b/>
          <w:sz w:val="24"/>
          <w:szCs w:val="24"/>
          <w:highlight w:val="white"/>
        </w:rPr>
      </w:pPr>
    </w:p>
    <w:p w14:paraId="4511EB6C" w14:textId="77777777" w:rsidR="00B05D78" w:rsidRDefault="00B0694D" w:rsidP="00CC70EF">
      <w:pPr>
        <w:spacing w:line="240" w:lineRule="auto"/>
        <w:rPr>
          <w:sz w:val="24"/>
          <w:szCs w:val="24"/>
        </w:rPr>
      </w:pPr>
      <w:r>
        <w:rPr>
          <w:b/>
          <w:sz w:val="24"/>
          <w:szCs w:val="24"/>
        </w:rPr>
        <w:t xml:space="preserve">Downstream Approaches </w:t>
      </w:r>
      <w:r>
        <w:rPr>
          <w:sz w:val="24"/>
          <w:szCs w:val="24"/>
        </w:rPr>
        <w:t>are “</w:t>
      </w:r>
      <w:r>
        <w:rPr>
          <w:sz w:val="24"/>
          <w:szCs w:val="24"/>
          <w:highlight w:val="white"/>
        </w:rPr>
        <w:t xml:space="preserve">interventions and strategies focus[ed] on providing equitable access to care and services to mitigate the negative impacts of disadvantage on health” </w:t>
      </w:r>
      <w:r>
        <w:rPr>
          <w:sz w:val="24"/>
          <w:szCs w:val="24"/>
        </w:rPr>
        <w:t>(National Collaborating Centre for Determinants of Health, 2020, section 1).</w:t>
      </w:r>
    </w:p>
    <w:p w14:paraId="5B8179FB" w14:textId="77777777" w:rsidR="00B05D78" w:rsidRDefault="00B05D78" w:rsidP="00CC70EF">
      <w:pPr>
        <w:spacing w:line="240" w:lineRule="auto"/>
        <w:rPr>
          <w:b/>
          <w:sz w:val="24"/>
          <w:szCs w:val="24"/>
          <w:highlight w:val="white"/>
        </w:rPr>
      </w:pPr>
    </w:p>
    <w:p w14:paraId="113173AB" w14:textId="77777777" w:rsidR="00B05D78" w:rsidRDefault="00B0694D" w:rsidP="00CC70EF">
      <w:pPr>
        <w:spacing w:line="240" w:lineRule="auto"/>
        <w:rPr>
          <w:sz w:val="24"/>
          <w:szCs w:val="24"/>
          <w:highlight w:val="white"/>
        </w:rPr>
      </w:pPr>
      <w:r>
        <w:rPr>
          <w:b/>
          <w:sz w:val="24"/>
          <w:szCs w:val="24"/>
        </w:rPr>
        <w:t>Elders</w:t>
      </w:r>
      <w:r>
        <w:rPr>
          <w:b/>
          <w:sz w:val="24"/>
          <w:szCs w:val="24"/>
          <w:highlight w:val="white"/>
        </w:rPr>
        <w:t xml:space="preserve"> </w:t>
      </w:r>
      <w:r>
        <w:rPr>
          <w:sz w:val="24"/>
          <w:szCs w:val="24"/>
          <w:highlight w:val="white"/>
        </w:rPr>
        <w:t>are a sum of their experiences and are role models, advisors, recorders of history and teachers of values that are passed on from generation to generation. Elders are of great importance and highly respected for their symbolic connection to the past, their knowledge of traditional ways, teachings, stories and ceremonies (</w:t>
      </w:r>
      <w:proofErr w:type="spellStart"/>
      <w:r>
        <w:rPr>
          <w:sz w:val="24"/>
          <w:szCs w:val="24"/>
          <w:highlight w:val="white"/>
        </w:rPr>
        <w:t>Stiegelbauer</w:t>
      </w:r>
      <w:proofErr w:type="spellEnd"/>
      <w:r>
        <w:rPr>
          <w:sz w:val="24"/>
          <w:szCs w:val="24"/>
          <w:highlight w:val="white"/>
        </w:rPr>
        <w:t xml:space="preserve">, 1996, para. 3). </w:t>
      </w:r>
    </w:p>
    <w:p w14:paraId="312F26A9" w14:textId="77777777" w:rsidR="00B05D78" w:rsidRDefault="00B05D78" w:rsidP="00CC70EF">
      <w:pPr>
        <w:spacing w:line="240" w:lineRule="auto"/>
        <w:rPr>
          <w:sz w:val="24"/>
          <w:szCs w:val="24"/>
          <w:highlight w:val="white"/>
        </w:rPr>
      </w:pPr>
    </w:p>
    <w:p w14:paraId="78EAFC6E" w14:textId="77777777" w:rsidR="00B05D78" w:rsidRDefault="00B0694D" w:rsidP="00CC70EF">
      <w:pPr>
        <w:pStyle w:val="Heading1"/>
        <w:keepNext w:val="0"/>
        <w:keepLines w:val="0"/>
        <w:spacing w:before="0" w:after="0" w:line="240" w:lineRule="auto"/>
        <w:rPr>
          <w:sz w:val="24"/>
          <w:szCs w:val="24"/>
          <w:highlight w:val="white"/>
        </w:rPr>
      </w:pPr>
      <w:bookmarkStart w:id="2" w:name="_scv5brx163fv" w:colFirst="0" w:colLast="0"/>
      <w:bookmarkEnd w:id="2"/>
      <w:r>
        <w:rPr>
          <w:b/>
          <w:sz w:val="24"/>
          <w:szCs w:val="24"/>
          <w:highlight w:val="white"/>
        </w:rPr>
        <w:t xml:space="preserve">First Nations </w:t>
      </w:r>
      <w:r>
        <w:rPr>
          <w:sz w:val="24"/>
          <w:szCs w:val="24"/>
          <w:highlight w:val="white"/>
        </w:rPr>
        <w:t>is “a term used to describe Aboriginal peoples of Canada who are ethnically neither Métis nor Inuit” (First Nations and Indigenous Studies, 2009, section 4).</w:t>
      </w:r>
    </w:p>
    <w:p w14:paraId="69E2FC66" w14:textId="77777777" w:rsidR="00B05D78" w:rsidRDefault="00B05D78" w:rsidP="00CC70EF">
      <w:pPr>
        <w:spacing w:line="240" w:lineRule="auto"/>
        <w:rPr>
          <w:sz w:val="24"/>
          <w:szCs w:val="24"/>
        </w:rPr>
      </w:pPr>
    </w:p>
    <w:p w14:paraId="43F9B962" w14:textId="77777777" w:rsidR="00B05D78" w:rsidRDefault="00B0694D" w:rsidP="00CC70EF">
      <w:pPr>
        <w:spacing w:line="240" w:lineRule="auto"/>
        <w:rPr>
          <w:sz w:val="24"/>
          <w:szCs w:val="24"/>
          <w:highlight w:val="white"/>
        </w:rPr>
      </w:pPr>
      <w:r>
        <w:rPr>
          <w:b/>
          <w:sz w:val="24"/>
          <w:szCs w:val="24"/>
        </w:rPr>
        <w:t>Food Security</w:t>
      </w:r>
      <w:r>
        <w:rPr>
          <w:b/>
          <w:sz w:val="24"/>
          <w:szCs w:val="24"/>
          <w:highlight w:val="white"/>
        </w:rPr>
        <w:t xml:space="preserve"> </w:t>
      </w:r>
      <w:r>
        <w:rPr>
          <w:sz w:val="24"/>
          <w:szCs w:val="24"/>
          <w:highlight w:val="white"/>
        </w:rPr>
        <w:t>is when</w:t>
      </w:r>
      <w:r>
        <w:rPr>
          <w:b/>
          <w:sz w:val="24"/>
          <w:szCs w:val="24"/>
          <w:highlight w:val="white"/>
        </w:rPr>
        <w:t xml:space="preserve"> </w:t>
      </w:r>
      <w:r>
        <w:rPr>
          <w:sz w:val="24"/>
          <w:szCs w:val="24"/>
          <w:highlight w:val="white"/>
        </w:rPr>
        <w:t>“all people, at all times, have physical and economic access to sufficient, safe, and nutritious food to meet their dietary needs and food preferences for an active and healthy life”</w:t>
      </w:r>
      <w:r>
        <w:rPr>
          <w:i/>
          <w:sz w:val="24"/>
          <w:szCs w:val="24"/>
          <w:highlight w:val="white"/>
        </w:rPr>
        <w:t xml:space="preserve"> </w:t>
      </w:r>
      <w:r>
        <w:rPr>
          <w:sz w:val="24"/>
          <w:szCs w:val="24"/>
          <w:highlight w:val="white"/>
        </w:rPr>
        <w:t xml:space="preserve">(World Food Summit, 1996, section 2). </w:t>
      </w:r>
    </w:p>
    <w:p w14:paraId="5E49C6C2" w14:textId="77777777" w:rsidR="00B05D78" w:rsidRDefault="00B05D78" w:rsidP="00CC70EF">
      <w:pPr>
        <w:spacing w:line="240" w:lineRule="auto"/>
        <w:rPr>
          <w:sz w:val="24"/>
          <w:szCs w:val="24"/>
          <w:highlight w:val="white"/>
        </w:rPr>
      </w:pPr>
    </w:p>
    <w:p w14:paraId="4F5AD85E" w14:textId="77777777" w:rsidR="00B05D78" w:rsidRDefault="00B0694D" w:rsidP="00CC70EF">
      <w:pPr>
        <w:pStyle w:val="Heading1"/>
        <w:keepNext w:val="0"/>
        <w:keepLines w:val="0"/>
        <w:spacing w:before="0" w:after="0" w:line="240" w:lineRule="auto"/>
        <w:rPr>
          <w:sz w:val="24"/>
          <w:szCs w:val="24"/>
          <w:highlight w:val="white"/>
        </w:rPr>
      </w:pPr>
      <w:bookmarkStart w:id="3" w:name="_l0xmxmy530xf" w:colFirst="0" w:colLast="0"/>
      <w:bookmarkEnd w:id="3"/>
      <w:r>
        <w:rPr>
          <w:b/>
          <w:sz w:val="24"/>
          <w:szCs w:val="24"/>
        </w:rPr>
        <w:t>Food Sovereignty</w:t>
      </w:r>
      <w:r>
        <w:rPr>
          <w:sz w:val="24"/>
          <w:szCs w:val="24"/>
          <w:highlight w:val="white"/>
        </w:rPr>
        <w:t xml:space="preserve"> is defined as the right to healthy and culturally appropriate food, produced through sustainable and ecologically sound methods, and the community's right to define their food and agriculture systems (Food Secure Canada, 2018).</w:t>
      </w:r>
    </w:p>
    <w:p w14:paraId="6B2B6A75" w14:textId="77777777" w:rsidR="00B05D78" w:rsidRDefault="00B05D78" w:rsidP="00CC70EF">
      <w:pPr>
        <w:spacing w:line="240" w:lineRule="auto"/>
        <w:rPr>
          <w:sz w:val="24"/>
          <w:szCs w:val="24"/>
          <w:highlight w:val="white"/>
        </w:rPr>
      </w:pPr>
    </w:p>
    <w:p w14:paraId="7BA00250" w14:textId="77777777" w:rsidR="00B05D78" w:rsidRDefault="00B0694D" w:rsidP="00CC70EF">
      <w:pPr>
        <w:pStyle w:val="Heading1"/>
        <w:keepNext w:val="0"/>
        <w:keepLines w:val="0"/>
        <w:spacing w:before="0" w:after="0" w:line="240" w:lineRule="auto"/>
        <w:rPr>
          <w:sz w:val="24"/>
          <w:szCs w:val="24"/>
          <w:highlight w:val="white"/>
        </w:rPr>
      </w:pPr>
      <w:bookmarkStart w:id="4" w:name="_hilk7cndv7l4" w:colFirst="0" w:colLast="0"/>
      <w:bookmarkEnd w:id="4"/>
      <w:r>
        <w:rPr>
          <w:b/>
          <w:sz w:val="24"/>
          <w:szCs w:val="24"/>
        </w:rPr>
        <w:t>Household Food Insecurity</w:t>
      </w:r>
      <w:r>
        <w:rPr>
          <w:b/>
          <w:sz w:val="24"/>
          <w:szCs w:val="24"/>
          <w:highlight w:val="white"/>
        </w:rPr>
        <w:t xml:space="preserve"> </w:t>
      </w:r>
      <w:r>
        <w:rPr>
          <w:sz w:val="24"/>
          <w:szCs w:val="24"/>
          <w:highlight w:val="white"/>
        </w:rPr>
        <w:t>is the inadequate or insecure access to food due to financial constraints (PROOF, n.d., section 1).</w:t>
      </w:r>
    </w:p>
    <w:p w14:paraId="4485A1FC" w14:textId="77777777" w:rsidR="00B05D78" w:rsidRDefault="00B0694D" w:rsidP="00CC70EF">
      <w:pPr>
        <w:pStyle w:val="Heading1"/>
        <w:keepNext w:val="0"/>
        <w:keepLines w:val="0"/>
        <w:numPr>
          <w:ilvl w:val="0"/>
          <w:numId w:val="2"/>
        </w:numPr>
        <w:spacing w:before="0" w:after="0" w:line="240" w:lineRule="auto"/>
        <w:rPr>
          <w:sz w:val="24"/>
          <w:szCs w:val="24"/>
          <w:highlight w:val="white"/>
        </w:rPr>
      </w:pPr>
      <w:bookmarkStart w:id="5" w:name="_xawk6ddq2mf4" w:colFirst="0" w:colLast="0"/>
      <w:bookmarkEnd w:id="5"/>
      <w:r>
        <w:rPr>
          <w:b/>
          <w:sz w:val="24"/>
          <w:szCs w:val="24"/>
          <w:highlight w:val="white"/>
        </w:rPr>
        <w:lastRenderedPageBreak/>
        <w:t>Marginal food insecurity</w:t>
      </w:r>
      <w:r>
        <w:rPr>
          <w:sz w:val="24"/>
          <w:szCs w:val="24"/>
          <w:highlight w:val="white"/>
        </w:rPr>
        <w:t xml:space="preserve"> is defined as to “worry about running out of food and/or limited food selection due to a lack of money for food.” (PROOF, n.d., section 1).</w:t>
      </w:r>
    </w:p>
    <w:p w14:paraId="55A4222D" w14:textId="77777777" w:rsidR="00B05D78" w:rsidRDefault="00B0694D" w:rsidP="00CC70EF">
      <w:pPr>
        <w:pStyle w:val="Heading1"/>
        <w:keepNext w:val="0"/>
        <w:keepLines w:val="0"/>
        <w:numPr>
          <w:ilvl w:val="0"/>
          <w:numId w:val="2"/>
        </w:numPr>
        <w:spacing w:before="0" w:after="0" w:line="240" w:lineRule="auto"/>
        <w:rPr>
          <w:sz w:val="24"/>
          <w:szCs w:val="24"/>
          <w:highlight w:val="white"/>
        </w:rPr>
      </w:pPr>
      <w:bookmarkStart w:id="6" w:name="_oqoto68gfq17" w:colFirst="0" w:colLast="0"/>
      <w:bookmarkEnd w:id="6"/>
      <w:r>
        <w:rPr>
          <w:b/>
          <w:sz w:val="24"/>
          <w:szCs w:val="24"/>
          <w:highlight w:val="white"/>
        </w:rPr>
        <w:t xml:space="preserve">Moderate food insecurity </w:t>
      </w:r>
      <w:r>
        <w:rPr>
          <w:sz w:val="24"/>
          <w:szCs w:val="24"/>
          <w:highlight w:val="white"/>
        </w:rPr>
        <w:t>is defined as to “compromise in quality and/or quantity of food due to a lack of money for food.” (PROOF, n.d., section 1).</w:t>
      </w:r>
    </w:p>
    <w:p w14:paraId="14C00C31" w14:textId="77777777" w:rsidR="00B05D78" w:rsidRDefault="00B0694D" w:rsidP="00CC70EF">
      <w:pPr>
        <w:pStyle w:val="Heading1"/>
        <w:keepNext w:val="0"/>
        <w:keepLines w:val="0"/>
        <w:numPr>
          <w:ilvl w:val="0"/>
          <w:numId w:val="2"/>
        </w:numPr>
        <w:spacing w:before="0" w:after="0" w:line="240" w:lineRule="auto"/>
        <w:rPr>
          <w:sz w:val="24"/>
          <w:szCs w:val="24"/>
          <w:highlight w:val="white"/>
        </w:rPr>
      </w:pPr>
      <w:bookmarkStart w:id="7" w:name="_e8gqnyjsaenw" w:colFirst="0" w:colLast="0"/>
      <w:bookmarkEnd w:id="7"/>
      <w:r>
        <w:rPr>
          <w:b/>
          <w:sz w:val="24"/>
          <w:szCs w:val="24"/>
          <w:highlight w:val="white"/>
        </w:rPr>
        <w:t xml:space="preserve">Severe food insecurity </w:t>
      </w:r>
      <w:r>
        <w:rPr>
          <w:sz w:val="24"/>
          <w:szCs w:val="24"/>
          <w:highlight w:val="white"/>
        </w:rPr>
        <w:t>is defined as to “miss meals, reduce food intake, and at the most extreme go day(s) without food.” (PROOF, n.d., section 1).</w:t>
      </w:r>
    </w:p>
    <w:p w14:paraId="26A0603C" w14:textId="77777777" w:rsidR="00B05D78" w:rsidRDefault="00B05D78" w:rsidP="00CC70EF">
      <w:pPr>
        <w:spacing w:line="240" w:lineRule="auto"/>
        <w:rPr>
          <w:sz w:val="24"/>
          <w:szCs w:val="24"/>
          <w:highlight w:val="white"/>
        </w:rPr>
      </w:pPr>
    </w:p>
    <w:p w14:paraId="7198AC9E" w14:textId="77777777" w:rsidR="00B05D78" w:rsidRDefault="00B0694D" w:rsidP="00CC70EF">
      <w:pPr>
        <w:pStyle w:val="Heading1"/>
        <w:keepNext w:val="0"/>
        <w:keepLines w:val="0"/>
        <w:spacing w:before="0" w:after="0" w:line="240" w:lineRule="auto"/>
        <w:rPr>
          <w:sz w:val="24"/>
          <w:szCs w:val="24"/>
          <w:highlight w:val="white"/>
        </w:rPr>
      </w:pPr>
      <w:bookmarkStart w:id="8" w:name="_ki7ppkqrbv3z" w:colFirst="0" w:colLast="0"/>
      <w:bookmarkEnd w:id="8"/>
      <w:r>
        <w:rPr>
          <w:b/>
          <w:sz w:val="24"/>
          <w:szCs w:val="24"/>
          <w:highlight w:val="white"/>
        </w:rPr>
        <w:t xml:space="preserve">Indian </w:t>
      </w:r>
      <w:r>
        <w:rPr>
          <w:sz w:val="24"/>
          <w:szCs w:val="24"/>
          <w:highlight w:val="white"/>
        </w:rPr>
        <w:t>refers to the legal identity of a First Nations person who is registered under the Indian Act and should be used only when referring to a First Nations person with status under the Indian Act and in legal contexts. This term in Canada is now considered outdated and offensive due to its colonial use in governing identity through this legislation (First Nations and Indigenous Studies, 2009).</w:t>
      </w:r>
    </w:p>
    <w:p w14:paraId="09232CE7" w14:textId="77777777" w:rsidR="00B05D78" w:rsidRDefault="00B05D78" w:rsidP="00CC70EF">
      <w:pPr>
        <w:spacing w:line="240" w:lineRule="auto"/>
        <w:rPr>
          <w:sz w:val="24"/>
          <w:szCs w:val="24"/>
        </w:rPr>
      </w:pPr>
    </w:p>
    <w:p w14:paraId="257E4501" w14:textId="77777777" w:rsidR="00B05D78" w:rsidRDefault="00B0694D" w:rsidP="00CC70EF">
      <w:pPr>
        <w:spacing w:line="240" w:lineRule="auto"/>
        <w:rPr>
          <w:sz w:val="24"/>
          <w:szCs w:val="24"/>
          <w:highlight w:val="white"/>
        </w:rPr>
      </w:pPr>
      <w:r>
        <w:rPr>
          <w:b/>
          <w:sz w:val="24"/>
          <w:szCs w:val="24"/>
        </w:rPr>
        <w:t>Indian Reserve</w:t>
      </w:r>
      <w:r>
        <w:rPr>
          <w:b/>
          <w:sz w:val="24"/>
          <w:szCs w:val="24"/>
          <w:highlight w:val="white"/>
        </w:rPr>
        <w:t xml:space="preserve"> </w:t>
      </w:r>
      <w:r>
        <w:rPr>
          <w:sz w:val="24"/>
          <w:szCs w:val="24"/>
          <w:highlight w:val="white"/>
        </w:rPr>
        <w:t>is a “tract of land set aside under the Indian Act and treaty agreements for the exclusive use of an Indian band” (Hanson, n.d., para. 1).</w:t>
      </w:r>
    </w:p>
    <w:p w14:paraId="7829FBD8" w14:textId="77777777" w:rsidR="00B05D78" w:rsidRDefault="00B05D78" w:rsidP="00CC70EF">
      <w:pPr>
        <w:spacing w:line="240" w:lineRule="auto"/>
        <w:rPr>
          <w:sz w:val="24"/>
          <w:szCs w:val="24"/>
          <w:highlight w:val="white"/>
        </w:rPr>
      </w:pPr>
    </w:p>
    <w:p w14:paraId="7DAF8E6B" w14:textId="77777777" w:rsidR="00B05D78" w:rsidRDefault="00B0694D" w:rsidP="00CC70EF">
      <w:pPr>
        <w:spacing w:line="240" w:lineRule="auto"/>
        <w:rPr>
          <w:sz w:val="24"/>
          <w:szCs w:val="24"/>
          <w:highlight w:val="white"/>
        </w:rPr>
      </w:pPr>
      <w:r>
        <w:rPr>
          <w:b/>
          <w:sz w:val="24"/>
          <w:szCs w:val="24"/>
          <w:highlight w:val="white"/>
        </w:rPr>
        <w:t>Indigenous</w:t>
      </w:r>
      <w:r>
        <w:rPr>
          <w:sz w:val="24"/>
          <w:szCs w:val="24"/>
          <w:highlight w:val="white"/>
        </w:rPr>
        <w:t xml:space="preserve"> is “a term used to encompass a variety of Aboriginal groups. It is most frequently used in an international, transnational, or global context” (First Nations and Indigenous Studies, 2009, section 8).</w:t>
      </w:r>
    </w:p>
    <w:p w14:paraId="52F78FF0" w14:textId="77777777" w:rsidR="00B05D78" w:rsidRDefault="00B05D78" w:rsidP="00CC70EF">
      <w:pPr>
        <w:spacing w:line="240" w:lineRule="auto"/>
        <w:rPr>
          <w:b/>
          <w:sz w:val="24"/>
          <w:szCs w:val="24"/>
          <w:highlight w:val="white"/>
        </w:rPr>
      </w:pPr>
    </w:p>
    <w:p w14:paraId="7E59C7C5" w14:textId="77777777" w:rsidR="00B05D78" w:rsidRDefault="00B0694D" w:rsidP="00CC70EF">
      <w:pPr>
        <w:pStyle w:val="Heading1"/>
        <w:keepNext w:val="0"/>
        <w:keepLines w:val="0"/>
        <w:spacing w:before="0" w:after="0" w:line="240" w:lineRule="auto"/>
        <w:rPr>
          <w:sz w:val="24"/>
          <w:szCs w:val="24"/>
          <w:highlight w:val="white"/>
        </w:rPr>
      </w:pPr>
      <w:bookmarkStart w:id="9" w:name="_6tcp3388isy" w:colFirst="0" w:colLast="0"/>
      <w:bookmarkEnd w:id="9"/>
      <w:r>
        <w:rPr>
          <w:b/>
          <w:sz w:val="24"/>
          <w:szCs w:val="24"/>
          <w:highlight w:val="white"/>
        </w:rPr>
        <w:t>I</w:t>
      </w:r>
      <w:r>
        <w:rPr>
          <w:b/>
          <w:sz w:val="24"/>
          <w:szCs w:val="24"/>
        </w:rPr>
        <w:t>ndigenous Peoples</w:t>
      </w:r>
      <w:r>
        <w:rPr>
          <w:b/>
          <w:sz w:val="24"/>
          <w:szCs w:val="24"/>
          <w:highlight w:val="white"/>
        </w:rPr>
        <w:t xml:space="preserve"> </w:t>
      </w:r>
      <w:r>
        <w:rPr>
          <w:sz w:val="24"/>
          <w:szCs w:val="24"/>
          <w:highlight w:val="white"/>
        </w:rPr>
        <w:t>is a monolithic term that fails to distinguish between various First Nations with their own distinct cultures. In British Columbia alone, there are over 198 diverse First Nations groups (</w:t>
      </w:r>
      <w:r>
        <w:rPr>
          <w:sz w:val="24"/>
          <w:szCs w:val="24"/>
        </w:rPr>
        <w:t>Province of British Columbia, 2021</w:t>
      </w:r>
      <w:r>
        <w:rPr>
          <w:sz w:val="24"/>
          <w:szCs w:val="24"/>
          <w:highlight w:val="white"/>
        </w:rPr>
        <w:t>).</w:t>
      </w:r>
    </w:p>
    <w:p w14:paraId="5551CBBF" w14:textId="77777777" w:rsidR="00B05D78" w:rsidRDefault="00B05D78" w:rsidP="00CC70EF">
      <w:pPr>
        <w:pStyle w:val="Heading1"/>
        <w:keepNext w:val="0"/>
        <w:keepLines w:val="0"/>
        <w:spacing w:before="0" w:after="0" w:line="240" w:lineRule="auto"/>
        <w:rPr>
          <w:sz w:val="24"/>
          <w:szCs w:val="24"/>
          <w:highlight w:val="white"/>
        </w:rPr>
      </w:pPr>
      <w:bookmarkStart w:id="10" w:name="_s16meq8bflo2" w:colFirst="0" w:colLast="0"/>
      <w:bookmarkEnd w:id="10"/>
    </w:p>
    <w:p w14:paraId="3E024FE7" w14:textId="77777777" w:rsidR="00B05D78" w:rsidRDefault="00B0694D" w:rsidP="00CC70EF">
      <w:pPr>
        <w:pStyle w:val="Heading1"/>
        <w:keepNext w:val="0"/>
        <w:keepLines w:val="0"/>
        <w:spacing w:before="0" w:after="0" w:line="240" w:lineRule="auto"/>
        <w:rPr>
          <w:sz w:val="24"/>
          <w:szCs w:val="24"/>
          <w:highlight w:val="white"/>
        </w:rPr>
      </w:pPr>
      <w:bookmarkStart w:id="11" w:name="_wvevmup4gzv8" w:colFirst="0" w:colLast="0"/>
      <w:bookmarkEnd w:id="11"/>
      <w:r>
        <w:rPr>
          <w:b/>
          <w:sz w:val="24"/>
          <w:szCs w:val="24"/>
          <w:highlight w:val="white"/>
        </w:rPr>
        <w:t xml:space="preserve">Inuit </w:t>
      </w:r>
      <w:r>
        <w:rPr>
          <w:sz w:val="24"/>
          <w:szCs w:val="24"/>
          <w:highlight w:val="white"/>
        </w:rPr>
        <w:t>refers to “specific groups of people generally living in the far north who are not considered “Indians” under Canadian law” (First Nations and Indigenous Studies, 2009, section 5).</w:t>
      </w:r>
    </w:p>
    <w:p w14:paraId="79C031DF" w14:textId="77777777" w:rsidR="00B05D78" w:rsidRDefault="00B05D78" w:rsidP="00CC70EF">
      <w:pPr>
        <w:spacing w:line="240" w:lineRule="auto"/>
        <w:rPr>
          <w:sz w:val="24"/>
          <w:szCs w:val="24"/>
        </w:rPr>
      </w:pPr>
    </w:p>
    <w:p w14:paraId="5D4639DC" w14:textId="77777777" w:rsidR="00B05D78" w:rsidRDefault="00B0694D" w:rsidP="00CC70EF">
      <w:pPr>
        <w:pStyle w:val="Heading1"/>
        <w:keepNext w:val="0"/>
        <w:keepLines w:val="0"/>
        <w:spacing w:before="0" w:after="0" w:line="240" w:lineRule="auto"/>
        <w:rPr>
          <w:sz w:val="24"/>
          <w:szCs w:val="24"/>
          <w:highlight w:val="white"/>
        </w:rPr>
      </w:pPr>
      <w:bookmarkStart w:id="12" w:name="_ky9ojoug4ba7" w:colFirst="0" w:colLast="0"/>
      <w:bookmarkEnd w:id="12"/>
      <w:r>
        <w:rPr>
          <w:b/>
          <w:sz w:val="24"/>
          <w:szCs w:val="24"/>
        </w:rPr>
        <w:t>Knowledge Keepers</w:t>
      </w:r>
      <w:r>
        <w:rPr>
          <w:b/>
          <w:sz w:val="24"/>
          <w:szCs w:val="24"/>
          <w:highlight w:val="white"/>
        </w:rPr>
        <w:t xml:space="preserve"> </w:t>
      </w:r>
      <w:r>
        <w:rPr>
          <w:sz w:val="24"/>
          <w:szCs w:val="24"/>
          <w:highlight w:val="white"/>
        </w:rPr>
        <w:t>refers to “someone who has been taught by an Elder or a senior Knowledge Keeper within their community. This person holds traditional knowledge and teachings, they have been taught how to care for these teachings” (Queen’s University, n.d.).</w:t>
      </w:r>
    </w:p>
    <w:p w14:paraId="6A26A4E1" w14:textId="77777777" w:rsidR="00B05D78" w:rsidRDefault="00B05D78" w:rsidP="00CC70EF">
      <w:pPr>
        <w:spacing w:line="240" w:lineRule="auto"/>
        <w:rPr>
          <w:sz w:val="24"/>
          <w:szCs w:val="24"/>
        </w:rPr>
      </w:pPr>
    </w:p>
    <w:p w14:paraId="67904485" w14:textId="77777777" w:rsidR="00B05D78" w:rsidRDefault="00B0694D" w:rsidP="00CC70EF">
      <w:pPr>
        <w:pStyle w:val="Heading1"/>
        <w:keepNext w:val="0"/>
        <w:keepLines w:val="0"/>
        <w:spacing w:before="0" w:after="0" w:line="240" w:lineRule="auto"/>
        <w:rPr>
          <w:b/>
          <w:sz w:val="24"/>
          <w:szCs w:val="24"/>
          <w:highlight w:val="white"/>
        </w:rPr>
      </w:pPr>
      <w:bookmarkStart w:id="13" w:name="_907z6agu8e6" w:colFirst="0" w:colLast="0"/>
      <w:bookmarkEnd w:id="13"/>
      <w:proofErr w:type="spellStart"/>
      <w:r>
        <w:rPr>
          <w:b/>
          <w:sz w:val="24"/>
          <w:szCs w:val="24"/>
        </w:rPr>
        <w:t>Labour</w:t>
      </w:r>
      <w:proofErr w:type="spellEnd"/>
      <w:r>
        <w:rPr>
          <w:b/>
          <w:sz w:val="24"/>
          <w:szCs w:val="24"/>
        </w:rPr>
        <w:t xml:space="preserve"> Market Outcomes</w:t>
      </w:r>
      <w:r>
        <w:rPr>
          <w:sz w:val="24"/>
          <w:szCs w:val="24"/>
          <w:highlight w:val="white"/>
        </w:rPr>
        <w:t xml:space="preserve"> “are assessed mainly using different employment/unemployment rates as well as elements of wages and earnings. The findings show that the higher one's level of education, the better one's chances of getting a job and keeping the status of employed person in times of crisis on the </w:t>
      </w:r>
      <w:proofErr w:type="spellStart"/>
      <w:r>
        <w:rPr>
          <w:sz w:val="24"/>
          <w:szCs w:val="24"/>
          <w:highlight w:val="white"/>
        </w:rPr>
        <w:t>labour</w:t>
      </w:r>
      <w:proofErr w:type="spellEnd"/>
      <w:r>
        <w:rPr>
          <w:sz w:val="24"/>
          <w:szCs w:val="24"/>
          <w:highlight w:val="white"/>
        </w:rPr>
        <w:t xml:space="preserve"> market.” (Ionescu, 2012, p.133).</w:t>
      </w:r>
    </w:p>
    <w:p w14:paraId="24A19B07" w14:textId="77777777" w:rsidR="00B05D78" w:rsidRDefault="00B05D78" w:rsidP="00CC70EF">
      <w:pPr>
        <w:spacing w:line="240" w:lineRule="auto"/>
        <w:rPr>
          <w:sz w:val="24"/>
          <w:szCs w:val="24"/>
        </w:rPr>
      </w:pPr>
    </w:p>
    <w:p w14:paraId="66C526EB" w14:textId="77777777" w:rsidR="00B05D78" w:rsidRDefault="00B0694D" w:rsidP="00CC70EF">
      <w:pPr>
        <w:pStyle w:val="Heading1"/>
        <w:keepNext w:val="0"/>
        <w:keepLines w:val="0"/>
        <w:spacing w:before="0" w:after="0" w:line="240" w:lineRule="auto"/>
        <w:rPr>
          <w:sz w:val="24"/>
          <w:szCs w:val="24"/>
          <w:highlight w:val="white"/>
        </w:rPr>
      </w:pPr>
      <w:bookmarkStart w:id="14" w:name="_lwuokdugcw31" w:colFirst="0" w:colLast="0"/>
      <w:bookmarkEnd w:id="14"/>
      <w:r>
        <w:rPr>
          <w:b/>
          <w:sz w:val="24"/>
          <w:szCs w:val="24"/>
          <w:highlight w:val="white"/>
        </w:rPr>
        <w:t>Metis</w:t>
      </w:r>
      <w:r>
        <w:rPr>
          <w:sz w:val="24"/>
          <w:szCs w:val="24"/>
          <w:highlight w:val="white"/>
        </w:rPr>
        <w:t xml:space="preserve"> refers to “a collective of cultures and ethnic identities that resulted from unions between Aboriginal and European people in what is now Canada” (First Nations and Indigenous Studies, 2009, section 6).</w:t>
      </w:r>
    </w:p>
    <w:p w14:paraId="3472FB3C" w14:textId="77777777" w:rsidR="00B05D78" w:rsidRDefault="00B05D78" w:rsidP="00CC70EF">
      <w:pPr>
        <w:spacing w:line="240" w:lineRule="auto"/>
        <w:rPr>
          <w:sz w:val="24"/>
          <w:szCs w:val="24"/>
        </w:rPr>
      </w:pPr>
    </w:p>
    <w:p w14:paraId="3A1CFBEC" w14:textId="77777777" w:rsidR="00B05D78" w:rsidRDefault="00B0694D" w:rsidP="00CC70EF">
      <w:pPr>
        <w:pStyle w:val="Heading1"/>
        <w:keepNext w:val="0"/>
        <w:keepLines w:val="0"/>
        <w:spacing w:before="0" w:after="0" w:line="240" w:lineRule="auto"/>
        <w:rPr>
          <w:sz w:val="24"/>
          <w:szCs w:val="24"/>
          <w:highlight w:val="white"/>
        </w:rPr>
      </w:pPr>
      <w:bookmarkStart w:id="15" w:name="_lj00wdccb2ou" w:colFirst="0" w:colLast="0"/>
      <w:bookmarkEnd w:id="15"/>
      <w:r>
        <w:rPr>
          <w:b/>
          <w:sz w:val="24"/>
          <w:szCs w:val="24"/>
          <w:highlight w:val="white"/>
        </w:rPr>
        <w:lastRenderedPageBreak/>
        <w:t xml:space="preserve">Native </w:t>
      </w:r>
      <w:r>
        <w:rPr>
          <w:sz w:val="24"/>
          <w:szCs w:val="24"/>
          <w:highlight w:val="white"/>
        </w:rPr>
        <w:t>is a “general term that refers to a person or thing that has originated from a particular place. The term “native” does not denote a specific Aboriginal ethnicity (such as First Nation, Métis, or Inuit)” (First Nations and Indigenous Studies, 2009, section 9).</w:t>
      </w:r>
    </w:p>
    <w:p w14:paraId="04F95F62" w14:textId="77777777" w:rsidR="00B05D78" w:rsidRDefault="00B05D78" w:rsidP="00CC70EF">
      <w:pPr>
        <w:spacing w:line="240" w:lineRule="auto"/>
        <w:rPr>
          <w:sz w:val="24"/>
          <w:szCs w:val="24"/>
        </w:rPr>
      </w:pPr>
    </w:p>
    <w:p w14:paraId="6DCCF37D" w14:textId="77777777" w:rsidR="00B05D78" w:rsidRDefault="00B0694D" w:rsidP="00CC70EF">
      <w:pPr>
        <w:spacing w:line="240" w:lineRule="auto"/>
        <w:rPr>
          <w:sz w:val="24"/>
          <w:szCs w:val="24"/>
          <w:highlight w:val="white"/>
        </w:rPr>
      </w:pPr>
      <w:r>
        <w:rPr>
          <w:b/>
          <w:sz w:val="24"/>
          <w:szCs w:val="24"/>
        </w:rPr>
        <w:t>Off-reserve</w:t>
      </w:r>
      <w:r>
        <w:rPr>
          <w:sz w:val="24"/>
          <w:szCs w:val="24"/>
          <w:highlight w:val="white"/>
        </w:rPr>
        <w:t xml:space="preserve"> refers to Indigenous Peoples “located on or living in a place that is not part of a designated Indian reserve” (Dictionary, n.d., section 1). This can include urban areas, remote and rural communities.</w:t>
      </w:r>
    </w:p>
    <w:p w14:paraId="6AA5E7C9" w14:textId="77777777" w:rsidR="00B05D78" w:rsidRDefault="00B05D78" w:rsidP="00CC70EF">
      <w:pPr>
        <w:spacing w:line="240" w:lineRule="auto"/>
        <w:rPr>
          <w:b/>
          <w:sz w:val="24"/>
          <w:szCs w:val="24"/>
          <w:highlight w:val="white"/>
        </w:rPr>
      </w:pPr>
    </w:p>
    <w:p w14:paraId="79BA0114" w14:textId="77777777" w:rsidR="00B05D78" w:rsidRDefault="00B0694D" w:rsidP="00CC70EF">
      <w:pPr>
        <w:pStyle w:val="Heading1"/>
        <w:keepNext w:val="0"/>
        <w:keepLines w:val="0"/>
        <w:spacing w:before="0" w:after="0" w:line="240" w:lineRule="auto"/>
        <w:rPr>
          <w:sz w:val="24"/>
          <w:szCs w:val="24"/>
          <w:highlight w:val="white"/>
        </w:rPr>
      </w:pPr>
      <w:r>
        <w:rPr>
          <w:b/>
          <w:sz w:val="24"/>
          <w:szCs w:val="24"/>
          <w:highlight w:val="white"/>
        </w:rPr>
        <w:t xml:space="preserve">On-reserve </w:t>
      </w:r>
      <w:r>
        <w:rPr>
          <w:sz w:val="24"/>
          <w:szCs w:val="24"/>
          <w:highlight w:val="white"/>
        </w:rPr>
        <w:t>refers to Indigenous Peoples living on a designated Indian reserve</w:t>
      </w:r>
    </w:p>
    <w:p w14:paraId="6FC84E27" w14:textId="77777777" w:rsidR="00B05D78" w:rsidRDefault="00B05D78" w:rsidP="00CC70EF">
      <w:pPr>
        <w:pStyle w:val="Heading1"/>
        <w:keepNext w:val="0"/>
        <w:keepLines w:val="0"/>
        <w:spacing w:before="0" w:after="0" w:line="240" w:lineRule="auto"/>
        <w:rPr>
          <w:sz w:val="24"/>
          <w:szCs w:val="24"/>
          <w:highlight w:val="white"/>
        </w:rPr>
      </w:pPr>
    </w:p>
    <w:p w14:paraId="726B31F7" w14:textId="77777777" w:rsidR="00B05D78" w:rsidRDefault="00B0694D" w:rsidP="00CC70EF">
      <w:pPr>
        <w:pStyle w:val="Heading1"/>
        <w:keepNext w:val="0"/>
        <w:keepLines w:val="0"/>
        <w:spacing w:before="0" w:after="0" w:line="240" w:lineRule="auto"/>
        <w:rPr>
          <w:b/>
          <w:sz w:val="24"/>
          <w:szCs w:val="24"/>
        </w:rPr>
      </w:pPr>
      <w:bookmarkStart w:id="16" w:name="_ewhhlyeg6liw" w:colFirst="0" w:colLast="0"/>
      <w:bookmarkEnd w:id="16"/>
      <w:r>
        <w:rPr>
          <w:b/>
          <w:sz w:val="24"/>
          <w:szCs w:val="24"/>
        </w:rPr>
        <w:t>Participatory Action Research (PAR)</w:t>
      </w:r>
      <w:r>
        <w:rPr>
          <w:sz w:val="24"/>
          <w:szCs w:val="24"/>
        </w:rPr>
        <w:t xml:space="preserve"> is an approach to research that is “based on reflection, data collection, and action that aims to improve health and reduce health inequities through involving the people who, in turn, take actions to improve their own health.” (Baum et al., 2006, p. 854)</w:t>
      </w:r>
    </w:p>
    <w:p w14:paraId="1568BE0E" w14:textId="77777777" w:rsidR="00B05D78" w:rsidRDefault="00B05D78" w:rsidP="00CC70EF">
      <w:pPr>
        <w:spacing w:line="240" w:lineRule="auto"/>
        <w:rPr>
          <w:b/>
          <w:sz w:val="24"/>
          <w:szCs w:val="24"/>
          <w:highlight w:val="white"/>
        </w:rPr>
      </w:pPr>
    </w:p>
    <w:p w14:paraId="6E4FD329" w14:textId="77777777" w:rsidR="00B05D78" w:rsidRDefault="00B0694D" w:rsidP="00CC70EF">
      <w:pPr>
        <w:spacing w:line="240" w:lineRule="auto"/>
        <w:rPr>
          <w:sz w:val="24"/>
          <w:szCs w:val="24"/>
          <w:highlight w:val="white"/>
        </w:rPr>
      </w:pPr>
      <w:r>
        <w:rPr>
          <w:b/>
          <w:sz w:val="24"/>
          <w:szCs w:val="24"/>
          <w:highlight w:val="white"/>
        </w:rPr>
        <w:t xml:space="preserve">Peoples </w:t>
      </w:r>
      <w:r>
        <w:rPr>
          <w:sz w:val="24"/>
          <w:szCs w:val="24"/>
          <w:highlight w:val="white"/>
        </w:rPr>
        <w:t>is a term that “recognizes that more than one distinct group comprises the Aboriginal population of Canada” (First Nations and Indigenous Studies, 2009).</w:t>
      </w:r>
    </w:p>
    <w:p w14:paraId="0764AEF4" w14:textId="77777777" w:rsidR="00B05D78" w:rsidRDefault="00B05D78" w:rsidP="00CC70EF">
      <w:pPr>
        <w:pStyle w:val="Heading1"/>
        <w:keepNext w:val="0"/>
        <w:keepLines w:val="0"/>
        <w:spacing w:before="0" w:after="0" w:line="240" w:lineRule="auto"/>
        <w:rPr>
          <w:b/>
          <w:sz w:val="24"/>
          <w:szCs w:val="24"/>
          <w:highlight w:val="white"/>
        </w:rPr>
      </w:pPr>
      <w:bookmarkStart w:id="17" w:name="_g9q8iw9eiydu" w:colFirst="0" w:colLast="0"/>
      <w:bookmarkEnd w:id="17"/>
    </w:p>
    <w:p w14:paraId="3C987F36" w14:textId="77777777" w:rsidR="00B05D78" w:rsidRDefault="00B0694D" w:rsidP="00CC70EF">
      <w:pPr>
        <w:pStyle w:val="Heading1"/>
        <w:keepNext w:val="0"/>
        <w:keepLines w:val="0"/>
        <w:spacing w:before="0" w:after="0" w:line="240" w:lineRule="auto"/>
        <w:rPr>
          <w:sz w:val="24"/>
          <w:szCs w:val="24"/>
          <w:highlight w:val="white"/>
        </w:rPr>
      </w:pPr>
      <w:bookmarkStart w:id="18" w:name="_krx1nex9nifw" w:colFirst="0" w:colLast="0"/>
      <w:bookmarkEnd w:id="18"/>
      <w:r>
        <w:rPr>
          <w:b/>
          <w:sz w:val="24"/>
          <w:szCs w:val="24"/>
        </w:rPr>
        <w:t>Racism</w:t>
      </w:r>
      <w:r>
        <w:rPr>
          <w:sz w:val="24"/>
          <w:szCs w:val="24"/>
          <w:highlight w:val="white"/>
        </w:rPr>
        <w:t xml:space="preserve"> is the “unfair and unavoidable disparities in power, resources, capacities, or opportunities centered on ethnic, racial, religious, or cultural differences” (</w:t>
      </w:r>
      <w:proofErr w:type="spellStart"/>
      <w:r>
        <w:rPr>
          <w:sz w:val="24"/>
          <w:szCs w:val="24"/>
          <w:highlight w:val="white"/>
        </w:rPr>
        <w:t>Paradies</w:t>
      </w:r>
      <w:proofErr w:type="spellEnd"/>
      <w:r>
        <w:rPr>
          <w:sz w:val="24"/>
          <w:szCs w:val="24"/>
          <w:highlight w:val="white"/>
        </w:rPr>
        <w:t>, 2018, p.1)</w:t>
      </w:r>
    </w:p>
    <w:p w14:paraId="415519C7" w14:textId="77777777" w:rsidR="00B05D78" w:rsidRDefault="00B05D78" w:rsidP="00CC70EF">
      <w:pPr>
        <w:pStyle w:val="Heading1"/>
        <w:keepNext w:val="0"/>
        <w:keepLines w:val="0"/>
        <w:spacing w:before="0" w:after="0" w:line="240" w:lineRule="auto"/>
        <w:rPr>
          <w:sz w:val="24"/>
          <w:szCs w:val="24"/>
        </w:rPr>
      </w:pPr>
      <w:bookmarkStart w:id="19" w:name="_7xb4s36cs908" w:colFirst="0" w:colLast="0"/>
      <w:bookmarkEnd w:id="19"/>
    </w:p>
    <w:p w14:paraId="78CAB4FE" w14:textId="77777777" w:rsidR="00B05D78" w:rsidRDefault="00B0694D" w:rsidP="00CC70EF">
      <w:pPr>
        <w:widowControl w:val="0"/>
        <w:spacing w:line="240" w:lineRule="auto"/>
        <w:rPr>
          <w:sz w:val="24"/>
          <w:szCs w:val="24"/>
        </w:rPr>
      </w:pPr>
      <w:r>
        <w:rPr>
          <w:b/>
          <w:sz w:val="24"/>
          <w:szCs w:val="24"/>
        </w:rPr>
        <w:t xml:space="preserve">Sharing Circles </w:t>
      </w:r>
      <w:r>
        <w:rPr>
          <w:sz w:val="24"/>
          <w:szCs w:val="24"/>
        </w:rPr>
        <w:t>are an Indigenous research methodology which includes open-structured, conversational style methodology that respects storytelling within a cultural protocol context (Kovach, 2009). They allow for a holistic, in-depth view of personal experiences and provide a culturally relevant and culturally sensitive approach (</w:t>
      </w:r>
      <w:proofErr w:type="spellStart"/>
      <w:r>
        <w:rPr>
          <w:sz w:val="24"/>
          <w:szCs w:val="24"/>
        </w:rPr>
        <w:t>Tachine</w:t>
      </w:r>
      <w:proofErr w:type="spellEnd"/>
      <w:r>
        <w:rPr>
          <w:sz w:val="24"/>
          <w:szCs w:val="24"/>
        </w:rPr>
        <w:t xml:space="preserve"> et al., 2016). The circle symbolizes continuity and equity and is a safe, inclusive and </w:t>
      </w:r>
      <w:proofErr w:type="spellStart"/>
      <w:r>
        <w:rPr>
          <w:sz w:val="24"/>
          <w:szCs w:val="24"/>
        </w:rPr>
        <w:t>non-judgemental</w:t>
      </w:r>
      <w:proofErr w:type="spellEnd"/>
      <w:r>
        <w:rPr>
          <w:sz w:val="24"/>
          <w:szCs w:val="24"/>
        </w:rPr>
        <w:t xml:space="preserve"> space to share beliefs, perceptions and experiences (</w:t>
      </w:r>
      <w:proofErr w:type="spellStart"/>
      <w:r>
        <w:rPr>
          <w:sz w:val="24"/>
          <w:szCs w:val="24"/>
        </w:rPr>
        <w:t>Carr</w:t>
      </w:r>
      <w:proofErr w:type="spellEnd"/>
      <w:r>
        <w:rPr>
          <w:sz w:val="24"/>
          <w:szCs w:val="24"/>
        </w:rPr>
        <w:t xml:space="preserve"> et al., 2020). </w:t>
      </w:r>
    </w:p>
    <w:p w14:paraId="138E5BFA" w14:textId="77777777" w:rsidR="00B05D78" w:rsidRDefault="00B05D78" w:rsidP="00CC70EF">
      <w:pPr>
        <w:spacing w:line="240" w:lineRule="auto"/>
        <w:rPr>
          <w:sz w:val="24"/>
          <w:szCs w:val="24"/>
          <w:highlight w:val="white"/>
        </w:rPr>
      </w:pPr>
    </w:p>
    <w:p w14:paraId="576B4848" w14:textId="77777777" w:rsidR="00B05D78" w:rsidRDefault="00B0694D" w:rsidP="00CC70EF">
      <w:pPr>
        <w:pStyle w:val="Heading1"/>
        <w:keepNext w:val="0"/>
        <w:keepLines w:val="0"/>
        <w:spacing w:before="0" w:after="0" w:line="240" w:lineRule="auto"/>
        <w:rPr>
          <w:sz w:val="24"/>
          <w:szCs w:val="24"/>
          <w:highlight w:val="white"/>
        </w:rPr>
      </w:pPr>
      <w:r>
        <w:rPr>
          <w:b/>
          <w:sz w:val="24"/>
          <w:szCs w:val="24"/>
          <w:highlight w:val="white"/>
        </w:rPr>
        <w:t xml:space="preserve">Systemic Racism </w:t>
      </w:r>
      <w:r>
        <w:rPr>
          <w:sz w:val="24"/>
          <w:szCs w:val="24"/>
          <w:highlight w:val="white"/>
        </w:rPr>
        <w:t>(also known as “institutional” or “organizational” racism) encompasses a range of processes, practices and policies (</w:t>
      </w:r>
      <w:r>
        <w:rPr>
          <w:sz w:val="24"/>
          <w:szCs w:val="24"/>
        </w:rPr>
        <w:t>Berman</w:t>
      </w:r>
      <w:r>
        <w:rPr>
          <w:sz w:val="24"/>
          <w:szCs w:val="24"/>
          <w:highlight w:val="white"/>
        </w:rPr>
        <w:t xml:space="preserve"> &amp; </w:t>
      </w:r>
      <w:proofErr w:type="spellStart"/>
      <w:r>
        <w:rPr>
          <w:sz w:val="24"/>
          <w:szCs w:val="24"/>
          <w:highlight w:val="white"/>
        </w:rPr>
        <w:t>Paradies</w:t>
      </w:r>
      <w:proofErr w:type="spellEnd"/>
      <w:r>
        <w:rPr>
          <w:sz w:val="24"/>
          <w:szCs w:val="24"/>
          <w:highlight w:val="white"/>
        </w:rPr>
        <w:t xml:space="preserve">, 2010). This often includes efforts to assimilate Indigenous Peoples into mainstream culture, but fail due to racist </w:t>
      </w:r>
      <w:proofErr w:type="spellStart"/>
      <w:r>
        <w:rPr>
          <w:sz w:val="24"/>
          <w:szCs w:val="24"/>
          <w:highlight w:val="white"/>
        </w:rPr>
        <w:t>eclusion</w:t>
      </w:r>
      <w:proofErr w:type="spellEnd"/>
      <w:r>
        <w:rPr>
          <w:sz w:val="24"/>
          <w:szCs w:val="24"/>
          <w:highlight w:val="white"/>
        </w:rPr>
        <w:t>, preventing them from “enjoying the full benefits of the dominant culture” (</w:t>
      </w:r>
      <w:proofErr w:type="spellStart"/>
      <w:r>
        <w:rPr>
          <w:sz w:val="24"/>
          <w:szCs w:val="24"/>
        </w:rPr>
        <w:t>Paradies</w:t>
      </w:r>
      <w:proofErr w:type="spellEnd"/>
      <w:r>
        <w:rPr>
          <w:sz w:val="24"/>
          <w:szCs w:val="24"/>
        </w:rPr>
        <w:t>, 2018, p. 3</w:t>
      </w:r>
      <w:r>
        <w:rPr>
          <w:sz w:val="24"/>
          <w:szCs w:val="24"/>
          <w:highlight w:val="white"/>
        </w:rPr>
        <w:t>).</w:t>
      </w:r>
    </w:p>
    <w:p w14:paraId="49C0D06A" w14:textId="77777777" w:rsidR="00B05D78" w:rsidRDefault="00B05D78" w:rsidP="00CC70EF">
      <w:pPr>
        <w:pStyle w:val="Heading1"/>
        <w:keepNext w:val="0"/>
        <w:keepLines w:val="0"/>
        <w:spacing w:before="0" w:after="0" w:line="240" w:lineRule="auto"/>
        <w:rPr>
          <w:sz w:val="24"/>
          <w:szCs w:val="24"/>
          <w:highlight w:val="white"/>
        </w:rPr>
      </w:pPr>
    </w:p>
    <w:p w14:paraId="05085FAF" w14:textId="77777777" w:rsidR="00B05D78" w:rsidRDefault="00B0694D" w:rsidP="00CC70EF">
      <w:pPr>
        <w:pStyle w:val="Heading1"/>
        <w:keepNext w:val="0"/>
        <w:keepLines w:val="0"/>
        <w:spacing w:before="0" w:after="0" w:line="240" w:lineRule="auto"/>
        <w:rPr>
          <w:sz w:val="24"/>
          <w:szCs w:val="24"/>
          <w:highlight w:val="white"/>
        </w:rPr>
      </w:pPr>
      <w:r>
        <w:rPr>
          <w:b/>
          <w:sz w:val="24"/>
          <w:szCs w:val="24"/>
          <w:highlight w:val="white"/>
        </w:rPr>
        <w:t>The First Nations Principles of OCAP</w:t>
      </w:r>
      <w:r>
        <w:rPr>
          <w:sz w:val="24"/>
          <w:szCs w:val="24"/>
          <w:highlight w:val="white"/>
        </w:rPr>
        <w:t xml:space="preserve"> establishes how data and information collected from First Nations is protected, used or shared by the four principles (OCAP) (First Nati</w:t>
      </w:r>
      <w:r>
        <w:rPr>
          <w:sz w:val="24"/>
          <w:szCs w:val="24"/>
        </w:rPr>
        <w:t>ons Information Governance Centre</w:t>
      </w:r>
      <w:r>
        <w:rPr>
          <w:sz w:val="24"/>
          <w:szCs w:val="24"/>
          <w:highlight w:val="white"/>
        </w:rPr>
        <w:t>, 2021)</w:t>
      </w:r>
    </w:p>
    <w:p w14:paraId="2D4B62A4" w14:textId="77777777" w:rsidR="00B05D78" w:rsidRDefault="00B0694D" w:rsidP="00CC70EF">
      <w:pPr>
        <w:pStyle w:val="Heading1"/>
        <w:keepNext w:val="0"/>
        <w:keepLines w:val="0"/>
        <w:numPr>
          <w:ilvl w:val="0"/>
          <w:numId w:val="3"/>
        </w:numPr>
        <w:spacing w:before="0" w:after="0" w:line="240" w:lineRule="auto"/>
        <w:rPr>
          <w:sz w:val="24"/>
          <w:szCs w:val="24"/>
          <w:highlight w:val="white"/>
        </w:rPr>
      </w:pPr>
      <w:bookmarkStart w:id="20" w:name="_egh9fr6ea328" w:colFirst="0" w:colLast="0"/>
      <w:bookmarkEnd w:id="20"/>
      <w:r>
        <w:rPr>
          <w:b/>
          <w:sz w:val="24"/>
          <w:szCs w:val="24"/>
          <w:highlight w:val="white"/>
        </w:rPr>
        <w:t>O</w:t>
      </w:r>
      <w:r>
        <w:rPr>
          <w:sz w:val="24"/>
          <w:szCs w:val="24"/>
          <w:highlight w:val="white"/>
        </w:rPr>
        <w:t>wnership affirms that First Nations have ownership over their knowledge, data and information shared in research</w:t>
      </w:r>
    </w:p>
    <w:p w14:paraId="4013EB8B" w14:textId="77777777" w:rsidR="00B05D78" w:rsidRDefault="00B0694D" w:rsidP="00CC70EF">
      <w:pPr>
        <w:pStyle w:val="Heading1"/>
        <w:keepNext w:val="0"/>
        <w:keepLines w:val="0"/>
        <w:numPr>
          <w:ilvl w:val="0"/>
          <w:numId w:val="3"/>
        </w:numPr>
        <w:spacing w:before="0" w:after="0" w:line="240" w:lineRule="auto"/>
        <w:rPr>
          <w:sz w:val="24"/>
          <w:szCs w:val="24"/>
          <w:highlight w:val="white"/>
        </w:rPr>
      </w:pPr>
      <w:bookmarkStart w:id="21" w:name="_l2nngu98tfhr" w:colFirst="0" w:colLast="0"/>
      <w:bookmarkEnd w:id="21"/>
      <w:r>
        <w:rPr>
          <w:b/>
          <w:sz w:val="24"/>
          <w:szCs w:val="24"/>
          <w:highlight w:val="white"/>
        </w:rPr>
        <w:t>C</w:t>
      </w:r>
      <w:r>
        <w:rPr>
          <w:sz w:val="24"/>
          <w:szCs w:val="24"/>
          <w:highlight w:val="white"/>
        </w:rPr>
        <w:t>ontrol affirms the rights of First Nations communities and representative bodies to seek control over all aspects of research and information management from start to finish. This extends to the control of: resources, review, and planning processes.</w:t>
      </w:r>
    </w:p>
    <w:p w14:paraId="574015A7" w14:textId="77777777" w:rsidR="00B05D78" w:rsidRDefault="00B0694D" w:rsidP="00CC70EF">
      <w:pPr>
        <w:pStyle w:val="Heading1"/>
        <w:keepNext w:val="0"/>
        <w:keepLines w:val="0"/>
        <w:numPr>
          <w:ilvl w:val="0"/>
          <w:numId w:val="3"/>
        </w:numPr>
        <w:spacing w:before="0" w:after="0" w:line="240" w:lineRule="auto"/>
        <w:rPr>
          <w:sz w:val="24"/>
          <w:szCs w:val="24"/>
          <w:highlight w:val="white"/>
        </w:rPr>
      </w:pPr>
      <w:bookmarkStart w:id="22" w:name="_n22kzi1tq8ye" w:colFirst="0" w:colLast="0"/>
      <w:bookmarkEnd w:id="22"/>
      <w:r>
        <w:rPr>
          <w:b/>
          <w:sz w:val="24"/>
          <w:szCs w:val="24"/>
          <w:highlight w:val="white"/>
        </w:rPr>
        <w:lastRenderedPageBreak/>
        <w:t>A</w:t>
      </w:r>
      <w:r>
        <w:rPr>
          <w:sz w:val="24"/>
          <w:szCs w:val="24"/>
          <w:highlight w:val="white"/>
        </w:rPr>
        <w:t>ccess is the principle that First Nations must have access to information and data about themselves and their communities, rights to manage and decide their access to their collective information, no matter where it is held.</w:t>
      </w:r>
    </w:p>
    <w:p w14:paraId="508B7F8F" w14:textId="77777777" w:rsidR="00B05D78" w:rsidRDefault="00B0694D" w:rsidP="00CC70EF">
      <w:pPr>
        <w:pStyle w:val="Heading1"/>
        <w:keepNext w:val="0"/>
        <w:keepLines w:val="0"/>
        <w:numPr>
          <w:ilvl w:val="0"/>
          <w:numId w:val="3"/>
        </w:numPr>
        <w:spacing w:before="0" w:after="0" w:line="240" w:lineRule="auto"/>
        <w:rPr>
          <w:sz w:val="24"/>
          <w:szCs w:val="24"/>
          <w:highlight w:val="white"/>
        </w:rPr>
      </w:pPr>
      <w:bookmarkStart w:id="23" w:name="_6v1mhufz681t" w:colFirst="0" w:colLast="0"/>
      <w:bookmarkEnd w:id="23"/>
      <w:r>
        <w:rPr>
          <w:b/>
          <w:sz w:val="24"/>
          <w:szCs w:val="24"/>
          <w:highlight w:val="white"/>
        </w:rPr>
        <w:t>P</w:t>
      </w:r>
      <w:r>
        <w:rPr>
          <w:sz w:val="24"/>
          <w:szCs w:val="24"/>
          <w:highlight w:val="white"/>
        </w:rPr>
        <w:t>ossession is the concrete principle that First Nations have physical control over their data</w:t>
      </w:r>
    </w:p>
    <w:p w14:paraId="12A96D44" w14:textId="77777777" w:rsidR="00B05D78" w:rsidRDefault="00B05D78" w:rsidP="00CC70EF">
      <w:pPr>
        <w:spacing w:line="240" w:lineRule="auto"/>
        <w:rPr>
          <w:sz w:val="24"/>
          <w:szCs w:val="24"/>
        </w:rPr>
      </w:pPr>
    </w:p>
    <w:p w14:paraId="08D174CA" w14:textId="77777777" w:rsidR="00B05D78" w:rsidRDefault="00B0694D" w:rsidP="00CC70EF">
      <w:pPr>
        <w:spacing w:line="240" w:lineRule="auto"/>
        <w:rPr>
          <w:sz w:val="24"/>
          <w:szCs w:val="24"/>
        </w:rPr>
      </w:pPr>
      <w:r>
        <w:rPr>
          <w:b/>
          <w:sz w:val="24"/>
          <w:szCs w:val="24"/>
        </w:rPr>
        <w:t xml:space="preserve">Traditional </w:t>
      </w:r>
      <w:r>
        <w:rPr>
          <w:sz w:val="24"/>
          <w:szCs w:val="24"/>
        </w:rPr>
        <w:t>territory is a “geographical area identified by a First Nation as the land they and/or their ancestors traditionally occupied and used” (</w:t>
      </w:r>
      <w:proofErr w:type="spellStart"/>
      <w:r>
        <w:rPr>
          <w:sz w:val="24"/>
          <w:szCs w:val="24"/>
        </w:rPr>
        <w:t>Biin</w:t>
      </w:r>
      <w:proofErr w:type="spellEnd"/>
      <w:r>
        <w:rPr>
          <w:sz w:val="24"/>
          <w:szCs w:val="24"/>
        </w:rPr>
        <w:t xml:space="preserve"> et al., 2018).</w:t>
      </w:r>
    </w:p>
    <w:p w14:paraId="667A2DDE" w14:textId="77777777" w:rsidR="00B05D78" w:rsidRDefault="00B05D78" w:rsidP="00CC70EF">
      <w:pPr>
        <w:spacing w:line="240" w:lineRule="auto"/>
        <w:rPr>
          <w:sz w:val="24"/>
          <w:szCs w:val="24"/>
        </w:rPr>
      </w:pPr>
    </w:p>
    <w:p w14:paraId="783E783C" w14:textId="77777777" w:rsidR="00B05D78" w:rsidRDefault="00B0694D" w:rsidP="00CC70EF">
      <w:pPr>
        <w:spacing w:line="240" w:lineRule="auto"/>
        <w:rPr>
          <w:sz w:val="24"/>
          <w:szCs w:val="24"/>
          <w:highlight w:val="white"/>
        </w:rPr>
      </w:pPr>
      <w:r>
        <w:rPr>
          <w:b/>
          <w:sz w:val="24"/>
          <w:szCs w:val="24"/>
          <w:highlight w:val="white"/>
        </w:rPr>
        <w:t xml:space="preserve">Traditional Foods </w:t>
      </w:r>
      <w:r>
        <w:rPr>
          <w:sz w:val="24"/>
          <w:szCs w:val="24"/>
          <w:highlight w:val="white"/>
        </w:rPr>
        <w:t>in coastal Indigenous communities include traditionally harvested and processed food such as: salmon, game meats, shellfish, etc. (</w:t>
      </w:r>
      <w:r>
        <w:rPr>
          <w:sz w:val="24"/>
          <w:szCs w:val="24"/>
        </w:rPr>
        <w:t>Grow</w:t>
      </w:r>
      <w:r>
        <w:rPr>
          <w:sz w:val="24"/>
          <w:szCs w:val="24"/>
          <w:highlight w:val="white"/>
        </w:rPr>
        <w:t xml:space="preserve"> Local Society, 2014).</w:t>
      </w:r>
    </w:p>
    <w:p w14:paraId="0F9786CB" w14:textId="77777777" w:rsidR="00B05D78" w:rsidRDefault="00B05D78" w:rsidP="00CC70EF">
      <w:pPr>
        <w:spacing w:line="240" w:lineRule="auto"/>
        <w:rPr>
          <w:sz w:val="24"/>
          <w:szCs w:val="24"/>
          <w:highlight w:val="white"/>
        </w:rPr>
      </w:pPr>
    </w:p>
    <w:p w14:paraId="431AC9ED" w14:textId="77777777" w:rsidR="00B05D78" w:rsidRDefault="00B0694D" w:rsidP="00CC70EF">
      <w:pPr>
        <w:pStyle w:val="Heading1"/>
        <w:keepNext w:val="0"/>
        <w:keepLines w:val="0"/>
        <w:spacing w:before="0" w:after="0" w:line="240" w:lineRule="auto"/>
        <w:rPr>
          <w:sz w:val="24"/>
          <w:szCs w:val="24"/>
        </w:rPr>
      </w:pPr>
      <w:bookmarkStart w:id="24" w:name="_n3fmw6t18rcj" w:colFirst="0" w:colLast="0"/>
      <w:bookmarkEnd w:id="24"/>
      <w:r>
        <w:rPr>
          <w:b/>
          <w:sz w:val="24"/>
          <w:szCs w:val="24"/>
        </w:rPr>
        <w:t xml:space="preserve">Two-Eyed Seeing Approach </w:t>
      </w:r>
      <w:r>
        <w:rPr>
          <w:sz w:val="24"/>
          <w:szCs w:val="24"/>
        </w:rPr>
        <w:t>is “to see from one eye with the strengths of Indigenous ways of knowing, and to see from the other eye with the strengths of Western ways of knowing, and to use both of these eyes together” (Bartlett et al., 2012, p. 335).</w:t>
      </w:r>
    </w:p>
    <w:p w14:paraId="75C15B11" w14:textId="77777777" w:rsidR="00B05D78" w:rsidRDefault="00B05D78" w:rsidP="00CC70EF">
      <w:pPr>
        <w:widowControl w:val="0"/>
        <w:spacing w:line="240" w:lineRule="auto"/>
        <w:rPr>
          <w:sz w:val="24"/>
          <w:szCs w:val="24"/>
        </w:rPr>
      </w:pPr>
    </w:p>
    <w:p w14:paraId="15CF9071" w14:textId="77777777" w:rsidR="00B05D78" w:rsidRDefault="00B0694D" w:rsidP="00CC70EF">
      <w:pPr>
        <w:widowControl w:val="0"/>
        <w:spacing w:line="240" w:lineRule="auto"/>
        <w:rPr>
          <w:sz w:val="24"/>
          <w:szCs w:val="24"/>
        </w:rPr>
      </w:pPr>
      <w:proofErr w:type="spellStart"/>
      <w:r>
        <w:rPr>
          <w:b/>
          <w:sz w:val="24"/>
          <w:szCs w:val="24"/>
        </w:rPr>
        <w:t>Unceded</w:t>
      </w:r>
      <w:proofErr w:type="spellEnd"/>
      <w:r>
        <w:rPr>
          <w:sz w:val="24"/>
          <w:szCs w:val="24"/>
        </w:rPr>
        <w:t xml:space="preserve"> means that “First Nations people never ceded or legally signed away their lands to the Crown or to Canada” (</w:t>
      </w:r>
      <w:proofErr w:type="spellStart"/>
      <w:r>
        <w:rPr>
          <w:sz w:val="24"/>
          <w:szCs w:val="24"/>
        </w:rPr>
        <w:t>Biin</w:t>
      </w:r>
      <w:proofErr w:type="spellEnd"/>
      <w:r>
        <w:rPr>
          <w:sz w:val="24"/>
          <w:szCs w:val="24"/>
        </w:rPr>
        <w:t xml:space="preserve"> et al., 2018). 95% of British Columbia is on </w:t>
      </w:r>
      <w:proofErr w:type="spellStart"/>
      <w:r>
        <w:rPr>
          <w:sz w:val="24"/>
          <w:szCs w:val="24"/>
        </w:rPr>
        <w:t>unceded</w:t>
      </w:r>
      <w:proofErr w:type="spellEnd"/>
      <w:r>
        <w:rPr>
          <w:sz w:val="24"/>
          <w:szCs w:val="24"/>
        </w:rPr>
        <w:t>, traditional First Nations Territory (</w:t>
      </w:r>
      <w:proofErr w:type="spellStart"/>
      <w:r>
        <w:rPr>
          <w:sz w:val="24"/>
          <w:szCs w:val="24"/>
        </w:rPr>
        <w:t>Biin</w:t>
      </w:r>
      <w:proofErr w:type="spellEnd"/>
      <w:r>
        <w:rPr>
          <w:sz w:val="24"/>
          <w:szCs w:val="24"/>
        </w:rPr>
        <w:t xml:space="preserve"> et al., 2018).</w:t>
      </w:r>
    </w:p>
    <w:p w14:paraId="56E4FCDE" w14:textId="77777777" w:rsidR="00B05D78" w:rsidRDefault="00B05D78" w:rsidP="00CC70EF">
      <w:pPr>
        <w:widowControl w:val="0"/>
        <w:spacing w:line="240" w:lineRule="auto"/>
        <w:rPr>
          <w:sz w:val="24"/>
          <w:szCs w:val="24"/>
        </w:rPr>
      </w:pPr>
    </w:p>
    <w:p w14:paraId="29C5A4DF" w14:textId="77777777" w:rsidR="00B05D78" w:rsidRDefault="00B0694D" w:rsidP="00CC70EF">
      <w:pPr>
        <w:widowControl w:val="0"/>
        <w:spacing w:line="240" w:lineRule="auto"/>
        <w:rPr>
          <w:sz w:val="24"/>
          <w:szCs w:val="24"/>
        </w:rPr>
      </w:pPr>
      <w:r>
        <w:rPr>
          <w:b/>
          <w:sz w:val="24"/>
          <w:szCs w:val="24"/>
        </w:rPr>
        <w:t>Upstream Approaches</w:t>
      </w:r>
      <w:r>
        <w:rPr>
          <w:sz w:val="24"/>
          <w:szCs w:val="24"/>
        </w:rPr>
        <w:t xml:space="preserve"> are “interventions and strategies that focus on improving fundamental social and economic structures in order to decrease barriers and improve supports that allow people to achieve their full health potential” (National Collaborating Centre for Determinants of Health, 2020, section 1). </w:t>
      </w:r>
    </w:p>
    <w:p w14:paraId="1E52B8C9" w14:textId="77777777" w:rsidR="00B05D78" w:rsidRDefault="00B05D78" w:rsidP="00CC70EF">
      <w:pPr>
        <w:widowControl w:val="0"/>
        <w:spacing w:line="240" w:lineRule="auto"/>
        <w:rPr>
          <w:sz w:val="24"/>
          <w:szCs w:val="24"/>
        </w:rPr>
      </w:pPr>
    </w:p>
    <w:p w14:paraId="6687AC37" w14:textId="77777777" w:rsidR="00B05D78" w:rsidRDefault="00B0694D" w:rsidP="00CC70EF">
      <w:pPr>
        <w:spacing w:line="240" w:lineRule="auto"/>
        <w:rPr>
          <w:sz w:val="24"/>
          <w:szCs w:val="24"/>
          <w:highlight w:val="white"/>
        </w:rPr>
      </w:pPr>
      <w:r>
        <w:rPr>
          <w:b/>
          <w:sz w:val="24"/>
          <w:szCs w:val="24"/>
          <w:highlight w:val="white"/>
        </w:rPr>
        <w:t>Urban Area</w:t>
      </w:r>
      <w:r>
        <w:rPr>
          <w:sz w:val="24"/>
          <w:szCs w:val="24"/>
          <w:highlight w:val="white"/>
        </w:rPr>
        <w:t xml:space="preserve"> is defined as “a concentration of population at a high density. It is the opposite of rural, where the population is not concentrated but dispersed at a low density” (</w:t>
      </w:r>
      <w:r>
        <w:rPr>
          <w:sz w:val="24"/>
          <w:szCs w:val="24"/>
        </w:rPr>
        <w:t>Statistics</w:t>
      </w:r>
      <w:r>
        <w:rPr>
          <w:sz w:val="24"/>
          <w:szCs w:val="24"/>
          <w:highlight w:val="white"/>
        </w:rPr>
        <w:t xml:space="preserve"> Canada, 2011, para. 1). It can be further divided into small population </w:t>
      </w:r>
      <w:proofErr w:type="spellStart"/>
      <w:r>
        <w:rPr>
          <w:sz w:val="24"/>
          <w:szCs w:val="24"/>
          <w:highlight w:val="white"/>
        </w:rPr>
        <w:t>centres</w:t>
      </w:r>
      <w:proofErr w:type="spellEnd"/>
      <w:r>
        <w:rPr>
          <w:sz w:val="24"/>
          <w:szCs w:val="24"/>
          <w:highlight w:val="white"/>
        </w:rPr>
        <w:t xml:space="preserve">, medium population </w:t>
      </w:r>
      <w:proofErr w:type="spellStart"/>
      <w:r>
        <w:rPr>
          <w:sz w:val="24"/>
          <w:szCs w:val="24"/>
          <w:highlight w:val="white"/>
        </w:rPr>
        <w:t>centres</w:t>
      </w:r>
      <w:proofErr w:type="spellEnd"/>
      <w:r>
        <w:rPr>
          <w:sz w:val="24"/>
          <w:szCs w:val="24"/>
          <w:highlight w:val="white"/>
        </w:rPr>
        <w:t xml:space="preserve"> and large urban population </w:t>
      </w:r>
      <w:proofErr w:type="spellStart"/>
      <w:r>
        <w:rPr>
          <w:sz w:val="24"/>
          <w:szCs w:val="24"/>
          <w:highlight w:val="white"/>
        </w:rPr>
        <w:t>centres</w:t>
      </w:r>
      <w:proofErr w:type="spellEnd"/>
      <w:r>
        <w:rPr>
          <w:sz w:val="24"/>
          <w:szCs w:val="24"/>
          <w:highlight w:val="white"/>
        </w:rPr>
        <w:t xml:space="preserve">, depending on the population size in areas that are considered urban (Statistics Canada, 2011). In our project we primarily focused on medium or large urban population </w:t>
      </w:r>
      <w:proofErr w:type="spellStart"/>
      <w:r>
        <w:rPr>
          <w:sz w:val="24"/>
          <w:szCs w:val="24"/>
          <w:highlight w:val="white"/>
        </w:rPr>
        <w:t>centres</w:t>
      </w:r>
      <w:proofErr w:type="spellEnd"/>
      <w:r>
        <w:rPr>
          <w:sz w:val="24"/>
          <w:szCs w:val="24"/>
          <w:highlight w:val="white"/>
        </w:rPr>
        <w:t>, areas where Indigenous populations can gather and come from many different cultures and geographical locations (off-reserve, on-reserve, small rural, large rural, northern, etc.).</w:t>
      </w:r>
    </w:p>
    <w:p w14:paraId="7DE6B8D5" w14:textId="77777777" w:rsidR="00B05D78" w:rsidRDefault="00B05D78" w:rsidP="00CC70EF">
      <w:pPr>
        <w:spacing w:line="240" w:lineRule="auto"/>
        <w:rPr>
          <w:sz w:val="24"/>
          <w:szCs w:val="24"/>
          <w:highlight w:val="white"/>
        </w:rPr>
      </w:pPr>
    </w:p>
    <w:p w14:paraId="174DB114" w14:textId="77777777" w:rsidR="00B05D78" w:rsidRDefault="00B0694D" w:rsidP="00CC70EF">
      <w:pPr>
        <w:pStyle w:val="Heading1"/>
        <w:keepNext w:val="0"/>
        <w:keepLines w:val="0"/>
        <w:spacing w:before="0" w:after="0" w:line="240" w:lineRule="auto"/>
        <w:rPr>
          <w:sz w:val="24"/>
          <w:szCs w:val="24"/>
          <w:highlight w:val="white"/>
        </w:rPr>
      </w:pPr>
      <w:bookmarkStart w:id="25" w:name="_cvjnfpkos7j3" w:colFirst="0" w:colLast="0"/>
      <w:bookmarkEnd w:id="25"/>
      <w:r>
        <w:rPr>
          <w:b/>
          <w:sz w:val="24"/>
          <w:szCs w:val="24"/>
          <w:highlight w:val="white"/>
        </w:rPr>
        <w:t>Western(</w:t>
      </w:r>
      <w:proofErr w:type="spellStart"/>
      <w:r>
        <w:rPr>
          <w:b/>
          <w:sz w:val="24"/>
          <w:szCs w:val="24"/>
          <w:highlight w:val="white"/>
        </w:rPr>
        <w:t>ization</w:t>
      </w:r>
      <w:proofErr w:type="spellEnd"/>
      <w:r>
        <w:rPr>
          <w:b/>
          <w:sz w:val="24"/>
          <w:szCs w:val="24"/>
          <w:highlight w:val="white"/>
        </w:rPr>
        <w:t xml:space="preserve">) </w:t>
      </w:r>
      <w:r>
        <w:rPr>
          <w:sz w:val="24"/>
          <w:szCs w:val="24"/>
          <w:highlight w:val="white"/>
        </w:rPr>
        <w:t>is the adoption of European culture and norms (</w:t>
      </w:r>
      <w:r>
        <w:rPr>
          <w:sz w:val="24"/>
          <w:szCs w:val="24"/>
        </w:rPr>
        <w:t>Bauer</w:t>
      </w:r>
      <w:r>
        <w:rPr>
          <w:sz w:val="24"/>
          <w:szCs w:val="24"/>
          <w:highlight w:val="white"/>
        </w:rPr>
        <w:t xml:space="preserve">, </w:t>
      </w:r>
      <w:proofErr w:type="spellStart"/>
      <w:r>
        <w:rPr>
          <w:sz w:val="24"/>
          <w:szCs w:val="24"/>
          <w:highlight w:val="white"/>
        </w:rPr>
        <w:t>n.d.</w:t>
      </w:r>
      <w:proofErr w:type="spellEnd"/>
      <w:r>
        <w:rPr>
          <w:sz w:val="24"/>
          <w:szCs w:val="24"/>
          <w:highlight w:val="white"/>
        </w:rPr>
        <w:t>).</w:t>
      </w:r>
    </w:p>
    <w:p w14:paraId="1A8EFCBF" w14:textId="77777777" w:rsidR="00B05D78" w:rsidRDefault="00B05D78" w:rsidP="00CC70EF">
      <w:pPr>
        <w:spacing w:line="240" w:lineRule="auto"/>
        <w:rPr>
          <w:sz w:val="24"/>
          <w:szCs w:val="24"/>
        </w:rPr>
      </w:pPr>
    </w:p>
    <w:p w14:paraId="7A82F2DD" w14:textId="77777777" w:rsidR="00B05D78" w:rsidRDefault="00B05D78" w:rsidP="00CC70EF">
      <w:pPr>
        <w:spacing w:line="240" w:lineRule="auto"/>
        <w:rPr>
          <w:sz w:val="24"/>
          <w:szCs w:val="24"/>
        </w:rPr>
      </w:pPr>
    </w:p>
    <w:p w14:paraId="0CAC136E" w14:textId="77777777" w:rsidR="00B05D78" w:rsidRDefault="00B05D78" w:rsidP="00CC70EF">
      <w:pPr>
        <w:spacing w:line="240" w:lineRule="auto"/>
        <w:rPr>
          <w:sz w:val="24"/>
          <w:szCs w:val="24"/>
        </w:rPr>
      </w:pPr>
    </w:p>
    <w:p w14:paraId="40722247" w14:textId="77777777" w:rsidR="00B05D78" w:rsidRDefault="00B05D78" w:rsidP="00CC70EF">
      <w:pPr>
        <w:spacing w:line="240" w:lineRule="auto"/>
        <w:rPr>
          <w:sz w:val="24"/>
          <w:szCs w:val="24"/>
        </w:rPr>
      </w:pPr>
    </w:p>
    <w:p w14:paraId="7599C3EC" w14:textId="77777777" w:rsidR="00BD35F9" w:rsidRDefault="00BD35F9" w:rsidP="00CC70EF">
      <w:pPr>
        <w:spacing w:line="240" w:lineRule="auto"/>
        <w:rPr>
          <w:b/>
          <w:sz w:val="24"/>
          <w:szCs w:val="24"/>
        </w:rPr>
      </w:pPr>
    </w:p>
    <w:p w14:paraId="26FE358A" w14:textId="77777777" w:rsidR="002C785F" w:rsidRDefault="002C785F" w:rsidP="00CC70EF">
      <w:pPr>
        <w:spacing w:line="240" w:lineRule="auto"/>
        <w:rPr>
          <w:b/>
          <w:sz w:val="24"/>
          <w:szCs w:val="24"/>
        </w:rPr>
      </w:pPr>
    </w:p>
    <w:p w14:paraId="0158ABE7" w14:textId="77777777" w:rsidR="002C785F" w:rsidRDefault="002C785F" w:rsidP="00CC70EF">
      <w:pPr>
        <w:spacing w:line="240" w:lineRule="auto"/>
        <w:rPr>
          <w:b/>
          <w:sz w:val="24"/>
          <w:szCs w:val="24"/>
        </w:rPr>
      </w:pPr>
    </w:p>
    <w:p w14:paraId="41C77C4F" w14:textId="77777777" w:rsidR="002C785F" w:rsidRDefault="002C785F" w:rsidP="00CC70EF">
      <w:pPr>
        <w:spacing w:line="240" w:lineRule="auto"/>
        <w:rPr>
          <w:b/>
          <w:sz w:val="24"/>
          <w:szCs w:val="24"/>
        </w:rPr>
      </w:pPr>
    </w:p>
    <w:p w14:paraId="1CF8AFCE" w14:textId="77777777" w:rsidR="002C785F" w:rsidRDefault="002C785F" w:rsidP="00CC70EF">
      <w:pPr>
        <w:spacing w:line="240" w:lineRule="auto"/>
        <w:rPr>
          <w:b/>
          <w:sz w:val="24"/>
          <w:szCs w:val="24"/>
        </w:rPr>
      </w:pPr>
    </w:p>
    <w:p w14:paraId="0B7D2D42" w14:textId="77777777" w:rsidR="00B05D78" w:rsidRDefault="00B0694D" w:rsidP="00CC70EF">
      <w:pPr>
        <w:spacing w:line="240" w:lineRule="auto"/>
        <w:rPr>
          <w:b/>
          <w:sz w:val="24"/>
          <w:szCs w:val="24"/>
        </w:rPr>
      </w:pPr>
      <w:r>
        <w:rPr>
          <w:b/>
          <w:sz w:val="24"/>
          <w:szCs w:val="24"/>
        </w:rPr>
        <w:lastRenderedPageBreak/>
        <w:t>Appendix 2</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5D78" w14:paraId="4F7AC119" w14:textId="77777777">
        <w:tc>
          <w:tcPr>
            <w:tcW w:w="9360" w:type="dxa"/>
            <w:shd w:val="clear" w:color="auto" w:fill="auto"/>
            <w:tcMar>
              <w:top w:w="100" w:type="dxa"/>
              <w:left w:w="100" w:type="dxa"/>
              <w:bottom w:w="100" w:type="dxa"/>
              <w:right w:w="100" w:type="dxa"/>
            </w:tcMar>
          </w:tcPr>
          <w:p w14:paraId="5C3DF206" w14:textId="77777777" w:rsidR="00B05D78" w:rsidRDefault="00B0694D" w:rsidP="00CC70EF">
            <w:pPr>
              <w:widowControl w:val="0"/>
              <w:pBdr>
                <w:top w:val="nil"/>
                <w:left w:val="nil"/>
                <w:bottom w:val="nil"/>
                <w:right w:val="nil"/>
                <w:between w:val="nil"/>
              </w:pBdr>
              <w:spacing w:line="240" w:lineRule="auto"/>
              <w:rPr>
                <w:b/>
                <w:sz w:val="24"/>
                <w:szCs w:val="24"/>
              </w:rPr>
            </w:pPr>
            <w:r>
              <w:rPr>
                <w:b/>
                <w:sz w:val="24"/>
                <w:szCs w:val="24"/>
              </w:rPr>
              <w:t>Historical Context</w:t>
            </w:r>
          </w:p>
        </w:tc>
      </w:tr>
      <w:tr w:rsidR="00B05D78" w14:paraId="11A6360C" w14:textId="77777777">
        <w:tc>
          <w:tcPr>
            <w:tcW w:w="9360" w:type="dxa"/>
            <w:shd w:val="clear" w:color="auto" w:fill="auto"/>
            <w:tcMar>
              <w:top w:w="100" w:type="dxa"/>
              <w:left w:w="100" w:type="dxa"/>
              <w:bottom w:w="100" w:type="dxa"/>
              <w:right w:w="100" w:type="dxa"/>
            </w:tcMar>
          </w:tcPr>
          <w:p w14:paraId="334EABA8" w14:textId="77777777" w:rsidR="00B05D78" w:rsidRDefault="00B0694D" w:rsidP="00CC70EF">
            <w:pPr>
              <w:spacing w:line="240" w:lineRule="auto"/>
            </w:pPr>
            <w:r>
              <w:t>In 1778, Britain claimed the coast of BC, and by 1849 Vancouver Island was formally established as a British colony (British Columbia Teachers’ Federation (BCTF), n.d.). James Douglas purchased 14 lands from Indigenous Peoples, known as the “Douglas Treaties”, covering approximately 576 km</w:t>
            </w:r>
            <w:r>
              <w:rPr>
                <w:vertAlign w:val="superscript"/>
              </w:rPr>
              <w:t xml:space="preserve">2 </w:t>
            </w:r>
            <w:r>
              <w:rPr>
                <w:rFonts w:ascii="Arial Unicode MS" w:eastAsia="Arial Unicode MS" w:hAnsi="Arial Unicode MS" w:cs="Arial Unicode MS"/>
              </w:rPr>
              <w:t>(BCTF, n.d.). Douglas made payments in blankets and promised rights to fisheries and hunting on unsettled lands “as formerly” (BCTF, n.d.). “Unsettled lands” and “fisheries as formerly” was not defined (Harris, 2012, p. 106) 一 this ambiguity led to a lack of available areas to access foods, which likely increased risk for food insecurity. A policy was set, allowing a maximum of 10 acres of reserve land per Indigenous family, while settlers are allowed 320 acres (BCTF, n.d.). This lack of land access restricted the availability of foods that could be gathered for Indigenous Peoples.</w:t>
            </w:r>
          </w:p>
          <w:p w14:paraId="6C1C221F" w14:textId="77777777" w:rsidR="00B05D78" w:rsidRDefault="00B05D78" w:rsidP="00CC70EF">
            <w:pPr>
              <w:spacing w:line="240" w:lineRule="auto"/>
            </w:pPr>
          </w:p>
          <w:p w14:paraId="0E55F427" w14:textId="77777777" w:rsidR="00B05D78" w:rsidRDefault="00B0694D" w:rsidP="00CC70EF">
            <w:pPr>
              <w:spacing w:line="240" w:lineRule="auto"/>
            </w:pPr>
            <w:r>
              <w:t>The year 1858 is when the mainland of British Columbia (BC) was colonized (BCTF, n.d.). As this is later than many other provinces such as Quebec (1604), Indigenous Peoples in BC may have stronger ties to their culture compared to other provinces (Interviewee 7, Indigenous UBC Student). Thus, Indigenous Peoples living in BC may have stronger ties to knowledge and skills of preparation and processing of traditional foods, which can help increase food security, if given access to these foods.</w:t>
            </w:r>
          </w:p>
          <w:p w14:paraId="12843D6F" w14:textId="77777777" w:rsidR="00B05D78" w:rsidRDefault="00B05D78" w:rsidP="00CC70EF">
            <w:pPr>
              <w:spacing w:line="240" w:lineRule="auto"/>
            </w:pPr>
          </w:p>
          <w:p w14:paraId="763586D0" w14:textId="77777777" w:rsidR="00B05D78" w:rsidRDefault="00B0694D" w:rsidP="00CC70EF">
            <w:pPr>
              <w:spacing w:line="240" w:lineRule="auto"/>
            </w:pPr>
            <w:r>
              <w:t>The British North American Act created the country now known as Canada in 1867, which gave the jurisdiction of lands and resources to the provinces (BCTF, n.d.). The federal government is now “responsible” for Indigenous Peoples (BCTF, n.d.). The Canadian parliament passes the “Act of Gradual Civilization of Indian Peoples”, and the Indian Act becomes a key tool for assimilation (BCTF, n.d.):</w:t>
            </w:r>
          </w:p>
          <w:p w14:paraId="7E81E24E" w14:textId="77777777" w:rsidR="00B05D78" w:rsidRDefault="00B0694D" w:rsidP="00CC70EF">
            <w:pPr>
              <w:numPr>
                <w:ilvl w:val="0"/>
                <w:numId w:val="1"/>
              </w:numPr>
              <w:spacing w:line="240" w:lineRule="auto"/>
            </w:pPr>
            <w:r>
              <w:t>Creation of reserve lands that are not reflective of the traditional territories of Indigenous Peoples</w:t>
            </w:r>
          </w:p>
          <w:p w14:paraId="57D3B735" w14:textId="77777777" w:rsidR="00B05D78" w:rsidRDefault="00B0694D" w:rsidP="00CC70EF">
            <w:pPr>
              <w:numPr>
                <w:ilvl w:val="0"/>
                <w:numId w:val="1"/>
              </w:numPr>
              <w:spacing w:line="240" w:lineRule="auto"/>
            </w:pPr>
            <w:r>
              <w:t>Creation of puppet “band councils” that replace the authority of traditional governments</w:t>
            </w:r>
          </w:p>
          <w:p w14:paraId="7028433E" w14:textId="77777777" w:rsidR="00B05D78" w:rsidRDefault="00B0694D" w:rsidP="00CC70EF">
            <w:pPr>
              <w:numPr>
                <w:ilvl w:val="0"/>
                <w:numId w:val="1"/>
              </w:numPr>
              <w:spacing w:line="240" w:lineRule="auto"/>
            </w:pPr>
            <w:r>
              <w:t>Defining who is “Indian” under the Indian Act</w:t>
            </w:r>
          </w:p>
          <w:p w14:paraId="53A89D4E" w14:textId="77777777" w:rsidR="00B05D78" w:rsidRDefault="00B05D78" w:rsidP="00CC70EF">
            <w:pPr>
              <w:spacing w:line="240" w:lineRule="auto"/>
            </w:pPr>
          </w:p>
          <w:p w14:paraId="06A795E0" w14:textId="77777777" w:rsidR="00B05D78" w:rsidRDefault="00B0694D" w:rsidP="00CC70EF">
            <w:pPr>
              <w:spacing w:line="240" w:lineRule="auto"/>
            </w:pPr>
            <w:r>
              <w:t xml:space="preserve">Assimilation of Indigenous Peoples cultures endangered the connection to knowledge of cultural practices and skills needed to prepare and process traditional foods, threatening food security. In 1874, the Indian Act officially became law (BCTF, n.d.). </w:t>
            </w:r>
          </w:p>
          <w:p w14:paraId="662D725D" w14:textId="77777777" w:rsidR="00B05D78" w:rsidRDefault="00B05D78" w:rsidP="00CC70EF">
            <w:pPr>
              <w:spacing w:line="240" w:lineRule="auto"/>
            </w:pPr>
          </w:p>
          <w:p w14:paraId="78893844" w14:textId="77777777" w:rsidR="00B05D78" w:rsidRDefault="00B0694D" w:rsidP="00CC70EF">
            <w:pPr>
              <w:spacing w:line="240" w:lineRule="auto"/>
            </w:pPr>
            <w:r>
              <w:t xml:space="preserve">In 1878, the Canadian government prohibited the use of nets in freshwater, and distinguished a difference between “food” and “commercial fishing”, interfering with Indigenous fishing rights and ultimately, their access to traditional foods (BCTF, n.d.). An amendment was made to the Indian Act in 1884, prohibiting potlatch and </w:t>
            </w:r>
            <w:proofErr w:type="spellStart"/>
            <w:r>
              <w:t>sundance</w:t>
            </w:r>
            <w:proofErr w:type="spellEnd"/>
            <w:r>
              <w:t xml:space="preserve"> (BCTF, </w:t>
            </w:r>
            <w:proofErr w:type="spellStart"/>
            <w:r>
              <w:t>n.d.</w:t>
            </w:r>
            <w:proofErr w:type="spellEnd"/>
            <w:r>
              <w:t>). Potlatches are traditional, gift-giving feasts and were the primary economic system of Coastal First People (Simon Fraser University, n.d., para. 3). A significant aspect of the potlatch was to pass on a family’s rights, privileges and inheritances, including rights to land, fishing holes, berry patches, and hunting grounds (Simon Fraser University, n.d., para. 3). A law for this amendment was enforced on a large scale from 1890-1920s, and the law was revoked in 1951 (BCTF, n.d.).</w:t>
            </w:r>
          </w:p>
          <w:p w14:paraId="43408AC7" w14:textId="77777777" w:rsidR="00B05D78" w:rsidRDefault="00B05D78" w:rsidP="00CC70EF">
            <w:pPr>
              <w:spacing w:line="240" w:lineRule="auto"/>
            </w:pPr>
          </w:p>
          <w:p w14:paraId="1E18DAB9" w14:textId="77777777" w:rsidR="00B05D78" w:rsidRDefault="00B0694D" w:rsidP="00CC70EF">
            <w:pPr>
              <w:spacing w:line="240" w:lineRule="auto"/>
            </w:pPr>
            <w:r>
              <w:t xml:space="preserve">The Federal Fisheries Act was introduced in 1889, prohibiting Indigenous Peoples from selling or owning fishing </w:t>
            </w:r>
            <w:proofErr w:type="spellStart"/>
            <w:r>
              <w:t>licences</w:t>
            </w:r>
            <w:proofErr w:type="spellEnd"/>
            <w:r>
              <w:t xml:space="preserve"> (BCTF, </w:t>
            </w:r>
            <w:proofErr w:type="spellStart"/>
            <w:r>
              <w:t>n.d.</w:t>
            </w:r>
            <w:proofErr w:type="spellEnd"/>
            <w:r>
              <w:t xml:space="preserve">). Indigenous Peoples working for fish companies are paid 5 cents per fish, while White settlers are paid 10 cents per fish (BCTF, n.d.). This </w:t>
            </w:r>
            <w:r>
              <w:lastRenderedPageBreak/>
              <w:t>restriction on fish as well as limited income further exacerbated access to foods and food security for Indigenous Peoples.</w:t>
            </w:r>
          </w:p>
          <w:p w14:paraId="3A8BAA4C" w14:textId="77777777" w:rsidR="00B05D78" w:rsidRDefault="00B05D78" w:rsidP="00CC70EF">
            <w:pPr>
              <w:spacing w:line="240" w:lineRule="auto"/>
            </w:pPr>
          </w:p>
          <w:p w14:paraId="1B10FD34" w14:textId="77777777" w:rsidR="00B05D78" w:rsidRDefault="00B0694D" w:rsidP="00CC70EF">
            <w:pPr>
              <w:spacing w:line="240" w:lineRule="auto"/>
            </w:pPr>
            <w:r>
              <w:t>The residential school system was introduced in 1893, making it clear that the intention was to destroy Indigenous language and culture (BCTF, n.d.). Residential schools substantially weakened cultural ties to traditional ways of knowing, learning and overall knowledge of the Indigenous community.</w:t>
            </w:r>
          </w:p>
          <w:p w14:paraId="75CE7453" w14:textId="77777777" w:rsidR="00B05D78" w:rsidRDefault="00B05D78" w:rsidP="00CC70EF">
            <w:pPr>
              <w:spacing w:line="240" w:lineRule="auto"/>
            </w:pPr>
          </w:p>
          <w:p w14:paraId="0C519C73" w14:textId="77777777" w:rsidR="00B05D78" w:rsidRDefault="00B0694D" w:rsidP="00CC70EF">
            <w:pPr>
              <w:spacing w:line="240" w:lineRule="auto"/>
            </w:pPr>
            <w:r>
              <w:t xml:space="preserve">In 1947, status “Indians” in BC received the right to vote (BCTF, n.d.). The Indian Act was amended in 1950, and prohibition of potlatch, </w:t>
            </w:r>
            <w:proofErr w:type="spellStart"/>
            <w:r>
              <w:t>sundance</w:t>
            </w:r>
            <w:proofErr w:type="spellEnd"/>
            <w:r>
              <w:t xml:space="preserve"> and land claim activities were lifted (BCTF, n.d.). Indigenous Peoples received the right to vote in federal elections in 1960, and residential schools began closing down, with the last residential school closing in 1996 (BCTF, n.d.). Prime Minister Stephen Harper officially apologizes to former students of residential schools on behalf of the Canadian government on June 11, 2008 (BCTF, n.d.). In 2009, Primer Minister Stephen Harper claimed that Canada has “no history of colonialism” at the G20 Summit press conference in Pittsburgh, USA (BCTF, n.d.). </w:t>
            </w:r>
          </w:p>
          <w:p w14:paraId="31EBAAD7" w14:textId="77777777" w:rsidR="00B05D78" w:rsidRDefault="00B05D78" w:rsidP="00CC70EF">
            <w:pPr>
              <w:spacing w:line="240" w:lineRule="auto"/>
            </w:pPr>
          </w:p>
          <w:p w14:paraId="3905C363" w14:textId="77777777" w:rsidR="00B05D78" w:rsidRDefault="00B0694D" w:rsidP="00CC70EF">
            <w:pPr>
              <w:spacing w:line="240" w:lineRule="auto"/>
            </w:pPr>
            <w:r>
              <w:t>The Truth and Reconciliation Commission (TRC) of Canada was part of the Indian Residential Schools Settlement Agreement (Truth and Reconciliation Commission of Canada, n.d., “The Indian Residential Schools Settlement Agreement” section). As part of its mandate, the TRC published “94 Calls to Action” in 2015 as an attempt to mend the trauma caused by residential schools between Indigenous Peoples and settlers, and to approach reconciliation. The “94 Calls to Action” calls for action in different areas, including but not limited to: Canada’s approach to education, health care, justice, and commemoration to include and amplify Indigenous voices and increase Indigenous figures in these areas (Truth and Reconciliation Commission of Canada, 2015).</w:t>
            </w:r>
          </w:p>
          <w:p w14:paraId="2D25792B" w14:textId="77777777" w:rsidR="00B05D78" w:rsidRDefault="00B0694D" w:rsidP="00CC70EF">
            <w:pPr>
              <w:spacing w:line="240" w:lineRule="auto"/>
              <w:rPr>
                <w:b/>
              </w:rPr>
            </w:pPr>
            <w:r>
              <w:t>The United Nations Declaration on the Rights of Indigenous Peoples (UNDRIP) acts as a universal framework to establish the minimum principles for the “survival, dignity and wellbeing” of Indigenous Peoples and was adopted by the United Nations on September 13, 2007 (United</w:t>
            </w:r>
            <w:r>
              <w:rPr>
                <w:rFonts w:ascii="Arial Unicode MS" w:eastAsia="Arial Unicode MS" w:hAnsi="Arial Unicode MS" w:cs="Arial Unicode MS"/>
              </w:rPr>
              <w:t xml:space="preserve"> Nations, n.d.). UNDRIP was adopted by 144 countries, with 11 abstentions and 4 countries voting against it 一 one of which including Canada (United Nations, n.d., “Historical Overview” section). Canada fully adopted UNDRIP in 2016 (</w:t>
            </w:r>
            <w:r>
              <w:t>Government of Canada, 2021). Along with the delay in adoption, action was taken only recently in 2019, with BC leading the implementation into legislation (Chan, 2019).</w:t>
            </w:r>
          </w:p>
        </w:tc>
      </w:tr>
      <w:tr w:rsidR="00B05D78" w14:paraId="74C2C8B8" w14:textId="77777777">
        <w:tc>
          <w:tcPr>
            <w:tcW w:w="9360" w:type="dxa"/>
            <w:shd w:val="clear" w:color="auto" w:fill="auto"/>
            <w:tcMar>
              <w:top w:w="100" w:type="dxa"/>
              <w:left w:w="100" w:type="dxa"/>
              <w:bottom w:w="100" w:type="dxa"/>
              <w:right w:w="100" w:type="dxa"/>
            </w:tcMar>
          </w:tcPr>
          <w:p w14:paraId="30743284" w14:textId="77777777" w:rsidR="00B05D78" w:rsidRDefault="00B0694D" w:rsidP="00CC70EF">
            <w:pPr>
              <w:widowControl w:val="0"/>
              <w:pBdr>
                <w:top w:val="nil"/>
                <w:left w:val="nil"/>
                <w:bottom w:val="nil"/>
                <w:right w:val="nil"/>
                <w:between w:val="nil"/>
              </w:pBdr>
              <w:spacing w:line="240" w:lineRule="auto"/>
              <w:rPr>
                <w:b/>
                <w:sz w:val="24"/>
                <w:szCs w:val="24"/>
              </w:rPr>
            </w:pPr>
            <w:r>
              <w:rPr>
                <w:b/>
                <w:sz w:val="24"/>
                <w:szCs w:val="24"/>
              </w:rPr>
              <w:lastRenderedPageBreak/>
              <w:t>Geographical Location</w:t>
            </w:r>
          </w:p>
        </w:tc>
      </w:tr>
      <w:tr w:rsidR="00B05D78" w14:paraId="507F404F" w14:textId="77777777">
        <w:tc>
          <w:tcPr>
            <w:tcW w:w="9360" w:type="dxa"/>
            <w:shd w:val="clear" w:color="auto" w:fill="auto"/>
            <w:tcMar>
              <w:top w:w="100" w:type="dxa"/>
              <w:left w:w="100" w:type="dxa"/>
              <w:bottom w:w="100" w:type="dxa"/>
              <w:right w:w="100" w:type="dxa"/>
            </w:tcMar>
          </w:tcPr>
          <w:p w14:paraId="6F9B21B8" w14:textId="77777777" w:rsidR="00B05D78" w:rsidRDefault="00B0694D" w:rsidP="00CC70EF">
            <w:pPr>
              <w:spacing w:line="240" w:lineRule="auto"/>
            </w:pPr>
            <w:r>
              <w:t xml:space="preserve">British Columbia has the second-highest Indigenous population in all of Canada at about ~270,585 (Statistics Canada, 2017). In addition, BC is home to over 198 distinct First Nations, each with their own unique traditions and history. Moving into the urban context of Vancouver, which is on the traditional, ancestral and unceded territory of the </w:t>
            </w:r>
            <w:proofErr w:type="spellStart"/>
            <w:r>
              <w:t>Musqueam</w:t>
            </w:r>
            <w:proofErr w:type="spellEnd"/>
            <w:r>
              <w:t xml:space="preserve">, Squamish, and </w:t>
            </w:r>
            <w:proofErr w:type="spellStart"/>
            <w:r>
              <w:t>Tsleil-Waututh</w:t>
            </w:r>
            <w:proofErr w:type="spellEnd"/>
            <w:r>
              <w:t xml:space="preserve"> nations, there are about ~61,455 urban Indigenous Peoples in Vancouver with the majority being First Nations (Statistics Canada, 2017).</w:t>
            </w:r>
          </w:p>
          <w:p w14:paraId="2D6978D2" w14:textId="77777777" w:rsidR="00B05D78" w:rsidRDefault="00B05D78" w:rsidP="00CC70EF">
            <w:pPr>
              <w:spacing w:line="240" w:lineRule="auto"/>
            </w:pPr>
          </w:p>
          <w:p w14:paraId="424CD633" w14:textId="77777777" w:rsidR="00B05D78" w:rsidRDefault="00B0694D" w:rsidP="00CC70EF">
            <w:pPr>
              <w:spacing w:line="240" w:lineRule="auto"/>
            </w:pPr>
            <w:r>
              <w:t xml:space="preserve">BC is located on the west coast. Living on the coastal region affects the traditional diet of Indigenous Peoples living in BC. Traditional and cultural foods are foods that have been traditionally harvested, processed and prepared, and often consist of salmon, eulachon, herring, shellfish, moose, deer, grouse, seaweed, roots, berries and more (Johnson, n.d.). Due to the impact of colonization and regulations on hunting, gathering and fishing, many </w:t>
            </w:r>
            <w:r>
              <w:lastRenderedPageBreak/>
              <w:t xml:space="preserve">Indigenous Peoples have decreased access to traditional foods due to inaccessibility of traditional ingredients and lack of knowledge and skills on how to prepare traditional foods due to weakened cultural ties. </w:t>
            </w:r>
          </w:p>
          <w:p w14:paraId="18C22810" w14:textId="77777777" w:rsidR="00B05D78" w:rsidRDefault="00B05D78" w:rsidP="00CC70EF">
            <w:pPr>
              <w:spacing w:line="240" w:lineRule="auto"/>
            </w:pPr>
          </w:p>
          <w:p w14:paraId="6B87B6DE" w14:textId="77777777" w:rsidR="00B05D78" w:rsidRDefault="00B0694D" w:rsidP="00CC70EF">
            <w:pPr>
              <w:spacing w:line="240" w:lineRule="auto"/>
            </w:pPr>
            <w:r>
              <w:t xml:space="preserve">Regarding where urban Indigenous Peoples reside in Vancouver, the Downtown Eastside </w:t>
            </w:r>
            <w:proofErr w:type="spellStart"/>
            <w:r>
              <w:t>neighbourhood</w:t>
            </w:r>
            <w:proofErr w:type="spellEnd"/>
            <w:r>
              <w:t xml:space="preserve"> is home to Canada’s largest urban population of First Nations peoples which is known for having “one of the poorest'' postal codes in all of Canada (</w:t>
            </w:r>
            <w:proofErr w:type="spellStart"/>
            <w:r>
              <w:t>Lupick</w:t>
            </w:r>
            <w:proofErr w:type="spellEnd"/>
            <w:r>
              <w:t xml:space="preserve">, 2019). The Downtown Eastside struggles with various complex challenges including poverty, mental illness, </w:t>
            </w:r>
            <w:proofErr w:type="spellStart"/>
            <w:r>
              <w:t>susbtance</w:t>
            </w:r>
            <w:proofErr w:type="spellEnd"/>
            <w:r>
              <w:t xml:space="preserve"> use and addiction, drug dealing, prostitution, crime, inadequate and insecure housing, prevalence of disease such as HIV/AIDS, </w:t>
            </w:r>
            <w:proofErr w:type="spellStart"/>
            <w:r>
              <w:t>hepatitus</w:t>
            </w:r>
            <w:proofErr w:type="spellEnd"/>
            <w:r>
              <w:t xml:space="preserve">, tuberculosis and lack of meaningful employment (Newnham, 2005). Many complex social issues prevalent in the Downtown Eastside and the disproportionate number of Indigenous Peoples residing in this </w:t>
            </w:r>
            <w:proofErr w:type="spellStart"/>
            <w:r>
              <w:t>neighbourhood</w:t>
            </w:r>
            <w:proofErr w:type="spellEnd"/>
            <w:r>
              <w:t xml:space="preserve"> can be linked to intergenerational trauma, colonization and the cultural assimilation and abuse experienced in residential schools. When addressing food insecurity in the urban Indigenous population in Vancouver, we need to look at the intersecting factors that contribute to food insecurity and the complex challenges surrounding urban Indigenous Peoples in Vancouver and BC. </w:t>
            </w:r>
          </w:p>
        </w:tc>
      </w:tr>
      <w:tr w:rsidR="00B05D78" w14:paraId="03B32C30" w14:textId="77777777">
        <w:tc>
          <w:tcPr>
            <w:tcW w:w="9360" w:type="dxa"/>
            <w:shd w:val="clear" w:color="auto" w:fill="auto"/>
            <w:tcMar>
              <w:top w:w="100" w:type="dxa"/>
              <w:left w:w="100" w:type="dxa"/>
              <w:bottom w:w="100" w:type="dxa"/>
              <w:right w:w="100" w:type="dxa"/>
            </w:tcMar>
          </w:tcPr>
          <w:p w14:paraId="3CD2F2A3" w14:textId="77777777" w:rsidR="00B05D78" w:rsidRDefault="00B0694D" w:rsidP="00CC70EF">
            <w:pPr>
              <w:widowControl w:val="0"/>
              <w:spacing w:line="240" w:lineRule="auto"/>
              <w:rPr>
                <w:sz w:val="24"/>
                <w:szCs w:val="24"/>
              </w:rPr>
            </w:pPr>
            <w:r>
              <w:rPr>
                <w:b/>
                <w:sz w:val="24"/>
                <w:szCs w:val="24"/>
              </w:rPr>
              <w:lastRenderedPageBreak/>
              <w:t>Current Context and COVID-19 Pandemic</w:t>
            </w:r>
          </w:p>
        </w:tc>
      </w:tr>
      <w:tr w:rsidR="00B05D78" w14:paraId="684E83F9" w14:textId="77777777">
        <w:tc>
          <w:tcPr>
            <w:tcW w:w="9360" w:type="dxa"/>
            <w:shd w:val="clear" w:color="auto" w:fill="auto"/>
            <w:tcMar>
              <w:top w:w="100" w:type="dxa"/>
              <w:left w:w="100" w:type="dxa"/>
              <w:bottom w:w="100" w:type="dxa"/>
              <w:right w:w="100" w:type="dxa"/>
            </w:tcMar>
          </w:tcPr>
          <w:p w14:paraId="0BB2E02B" w14:textId="77777777" w:rsidR="00B05D78" w:rsidRDefault="00B0694D" w:rsidP="00CC70EF">
            <w:pPr>
              <w:spacing w:line="240" w:lineRule="auto"/>
            </w:pPr>
            <w:r>
              <w:t xml:space="preserve">The COVID-19 pandemic has brought the issues of systemic racism and social inequalities to the forefront for Indigenous Peoples. More specifically, urban Indigenous Peoples are being overlooked during vaccinations even when the majority live in the Downtown Eastside which had one of the highest rates of COVID cases per capita in January 2021 (City of Vancouver, 2021). In addition to these high rates of COVID, many experienced loss of employment which resulted in loss of income and an increase in food insecurity. COVID-19 has furthered the gap between socioeconomic disparities as more people were unable to meet basic needs including food and even those who were able to meet basic needs experienced loss of income and financial stress (City of Vancouver, 2021). Even prior to COVID-19, 20% of Vancouver’s population lived below the national poverty line meaning that family disposable income was not sufficient to meet basic needs (City of Vancouver, 2021). In May 2020, 34% of BCCDC survey respondents in Vancouver reported difficulty meeting financial needs and 13% reported increased food insecurity (City of Vancouver, 2021). In addition, racialized groups and people in the Downtown Eastside were the most likely to be concerned about food security (City of Vancouver, 2021). This is unsurprising as food insecurity is correlated with loss of employment and income. </w:t>
            </w:r>
          </w:p>
        </w:tc>
      </w:tr>
    </w:tbl>
    <w:p w14:paraId="2729C3B2" w14:textId="77777777" w:rsidR="00B05D78" w:rsidRDefault="00B05D78" w:rsidP="00CC70EF">
      <w:pPr>
        <w:spacing w:line="240" w:lineRule="auto"/>
        <w:rPr>
          <w:b/>
          <w:sz w:val="24"/>
          <w:szCs w:val="24"/>
        </w:rPr>
      </w:pPr>
    </w:p>
    <w:p w14:paraId="08454E26" w14:textId="77777777" w:rsidR="00B05D78" w:rsidRDefault="00B05D78" w:rsidP="00CC70EF">
      <w:pPr>
        <w:spacing w:line="240" w:lineRule="auto"/>
        <w:rPr>
          <w:b/>
          <w:sz w:val="24"/>
          <w:szCs w:val="24"/>
        </w:rPr>
      </w:pPr>
    </w:p>
    <w:p w14:paraId="65D3AA0C" w14:textId="77777777" w:rsidR="00BD35F9" w:rsidRDefault="00BD35F9" w:rsidP="00CC70EF">
      <w:pPr>
        <w:spacing w:line="240" w:lineRule="auto"/>
        <w:rPr>
          <w:b/>
          <w:sz w:val="24"/>
          <w:szCs w:val="24"/>
        </w:rPr>
      </w:pPr>
    </w:p>
    <w:p w14:paraId="042F6894" w14:textId="77777777" w:rsidR="00BD35F9" w:rsidRDefault="00BD35F9" w:rsidP="00CC70EF">
      <w:pPr>
        <w:spacing w:line="240" w:lineRule="auto"/>
        <w:rPr>
          <w:b/>
          <w:sz w:val="24"/>
          <w:szCs w:val="24"/>
        </w:rPr>
      </w:pPr>
    </w:p>
    <w:p w14:paraId="29CB9D8E" w14:textId="77777777" w:rsidR="00BD35F9" w:rsidRDefault="00BD35F9" w:rsidP="00CC70EF">
      <w:pPr>
        <w:spacing w:line="240" w:lineRule="auto"/>
        <w:rPr>
          <w:b/>
          <w:sz w:val="24"/>
          <w:szCs w:val="24"/>
        </w:rPr>
      </w:pPr>
    </w:p>
    <w:p w14:paraId="03681560" w14:textId="77777777" w:rsidR="00BD35F9" w:rsidRDefault="00BD35F9" w:rsidP="00CC70EF">
      <w:pPr>
        <w:spacing w:line="240" w:lineRule="auto"/>
        <w:rPr>
          <w:b/>
          <w:sz w:val="24"/>
          <w:szCs w:val="24"/>
        </w:rPr>
      </w:pPr>
    </w:p>
    <w:p w14:paraId="4B08AD9C" w14:textId="77777777" w:rsidR="00BD35F9" w:rsidRDefault="00BD35F9" w:rsidP="00CC70EF">
      <w:pPr>
        <w:spacing w:line="240" w:lineRule="auto"/>
        <w:rPr>
          <w:b/>
          <w:sz w:val="24"/>
          <w:szCs w:val="24"/>
        </w:rPr>
      </w:pPr>
    </w:p>
    <w:p w14:paraId="26F91A2E" w14:textId="77777777" w:rsidR="00BD35F9" w:rsidRDefault="00BD35F9" w:rsidP="00CC70EF">
      <w:pPr>
        <w:spacing w:line="240" w:lineRule="auto"/>
        <w:rPr>
          <w:b/>
          <w:sz w:val="24"/>
          <w:szCs w:val="24"/>
        </w:rPr>
      </w:pPr>
    </w:p>
    <w:p w14:paraId="3D6E2EC1" w14:textId="77777777" w:rsidR="00A123AB" w:rsidRDefault="00A123AB" w:rsidP="00CC70EF">
      <w:pPr>
        <w:spacing w:line="240" w:lineRule="auto"/>
        <w:rPr>
          <w:b/>
          <w:sz w:val="24"/>
          <w:szCs w:val="24"/>
        </w:rPr>
      </w:pPr>
    </w:p>
    <w:p w14:paraId="47046600" w14:textId="77777777" w:rsidR="00A123AB" w:rsidRDefault="00A123AB" w:rsidP="00CC70EF">
      <w:pPr>
        <w:spacing w:line="240" w:lineRule="auto"/>
        <w:rPr>
          <w:b/>
          <w:sz w:val="24"/>
          <w:szCs w:val="24"/>
        </w:rPr>
      </w:pPr>
    </w:p>
    <w:p w14:paraId="0EC9D735" w14:textId="77777777" w:rsidR="00A123AB" w:rsidRDefault="00A123AB" w:rsidP="00CC70EF">
      <w:pPr>
        <w:spacing w:line="240" w:lineRule="auto"/>
        <w:rPr>
          <w:b/>
          <w:sz w:val="24"/>
          <w:szCs w:val="24"/>
        </w:rPr>
      </w:pPr>
    </w:p>
    <w:p w14:paraId="7051D17C" w14:textId="77777777" w:rsidR="00A123AB" w:rsidRDefault="00A123AB" w:rsidP="00CC70EF">
      <w:pPr>
        <w:spacing w:line="240" w:lineRule="auto"/>
        <w:rPr>
          <w:b/>
          <w:sz w:val="24"/>
          <w:szCs w:val="24"/>
        </w:rPr>
      </w:pPr>
    </w:p>
    <w:p w14:paraId="0DDE7BF5" w14:textId="77777777" w:rsidR="00A123AB" w:rsidRDefault="00A123AB" w:rsidP="00CC70EF">
      <w:pPr>
        <w:spacing w:line="240" w:lineRule="auto"/>
        <w:rPr>
          <w:b/>
          <w:sz w:val="24"/>
          <w:szCs w:val="24"/>
        </w:rPr>
      </w:pPr>
    </w:p>
    <w:p w14:paraId="2B462DDD" w14:textId="77777777" w:rsidR="00B05D78" w:rsidRDefault="00B0694D" w:rsidP="00CC70EF">
      <w:pPr>
        <w:spacing w:line="240" w:lineRule="auto"/>
        <w:rPr>
          <w:b/>
          <w:sz w:val="24"/>
          <w:szCs w:val="24"/>
        </w:rPr>
      </w:pPr>
      <w:r>
        <w:rPr>
          <w:b/>
          <w:sz w:val="24"/>
          <w:szCs w:val="24"/>
        </w:rPr>
        <w:lastRenderedPageBreak/>
        <w:t>Appendix 3</w:t>
      </w:r>
    </w:p>
    <w:p w14:paraId="3E5A322E" w14:textId="77777777" w:rsidR="00B05D78" w:rsidRDefault="00B05D78" w:rsidP="00CC70EF">
      <w:pPr>
        <w:spacing w:line="240" w:lineRule="auto"/>
        <w:rPr>
          <w:b/>
          <w:sz w:val="24"/>
          <w:szCs w:val="24"/>
        </w:rPr>
      </w:pPr>
    </w:p>
    <w:p w14:paraId="2543DFB6" w14:textId="77777777" w:rsidR="00B05D78" w:rsidRDefault="00B0694D" w:rsidP="00CC70EF">
      <w:pPr>
        <w:spacing w:line="240" w:lineRule="auto"/>
        <w:rPr>
          <w:b/>
          <w:sz w:val="24"/>
          <w:szCs w:val="24"/>
        </w:rPr>
      </w:pPr>
      <w:r>
        <w:rPr>
          <w:b/>
          <w:sz w:val="24"/>
          <w:szCs w:val="24"/>
        </w:rPr>
        <w:t>Research Methods</w:t>
      </w:r>
    </w:p>
    <w:p w14:paraId="37EA0A28" w14:textId="77777777" w:rsidR="00B05D78" w:rsidRDefault="00B0694D" w:rsidP="00CC70EF">
      <w:pPr>
        <w:spacing w:line="240" w:lineRule="auto"/>
        <w:rPr>
          <w:sz w:val="24"/>
          <w:szCs w:val="24"/>
        </w:rPr>
      </w:pPr>
      <w:r>
        <w:rPr>
          <w:sz w:val="24"/>
          <w:szCs w:val="24"/>
        </w:rPr>
        <w:t xml:space="preserve">Our team developed a relationship with an individual from the Gitxsan and </w:t>
      </w:r>
      <w:proofErr w:type="spellStart"/>
      <w:r>
        <w:rPr>
          <w:sz w:val="24"/>
          <w:szCs w:val="24"/>
        </w:rPr>
        <w:t>Wet'suwet'en</w:t>
      </w:r>
      <w:proofErr w:type="spellEnd"/>
      <w:r>
        <w:rPr>
          <w:sz w:val="24"/>
          <w:szCs w:val="24"/>
        </w:rPr>
        <w:t xml:space="preserve"> First Nations. We consulted with them throughout our project and valued their lived experience with food insecurity which informed our research. In addition, we collaborated with UGTS, a Vancouver-based, Indigenous-led non-profit organization focused on empowering Black, Indigenous, People of </w:t>
      </w:r>
      <w:proofErr w:type="spellStart"/>
      <w:r>
        <w:rPr>
          <w:sz w:val="24"/>
          <w:szCs w:val="24"/>
        </w:rPr>
        <w:t>Colour</w:t>
      </w:r>
      <w:proofErr w:type="spellEnd"/>
      <w:r>
        <w:rPr>
          <w:sz w:val="24"/>
          <w:szCs w:val="24"/>
        </w:rPr>
        <w:t xml:space="preserve"> (BIPOC) communities. We partnered with UGTS to evaluate their Essential Food Basket program which aims to provide fresh food weekly to BIPOC families in the Lower Mainland. Additionally, we conducted a literature review and interviewed eight individuals from UBC, UGTS, SFU, </w:t>
      </w:r>
      <w:proofErr w:type="spellStart"/>
      <w:r>
        <w:rPr>
          <w:sz w:val="24"/>
          <w:szCs w:val="24"/>
        </w:rPr>
        <w:t>FoodMesh</w:t>
      </w:r>
      <w:proofErr w:type="spellEnd"/>
      <w:r>
        <w:rPr>
          <w:sz w:val="24"/>
          <w:szCs w:val="24"/>
        </w:rPr>
        <w:t>, Grandview Woodland Food Connection and Vancouver Community College. To avoid perpetuating harm on communities, we chose not to interview other Indigenous Peoples that we did not have an existing relationship with.</w:t>
      </w:r>
    </w:p>
    <w:p w14:paraId="28946D7C" w14:textId="77777777" w:rsidR="00B05D78" w:rsidRDefault="00B05D78" w:rsidP="00CC70EF">
      <w:pPr>
        <w:spacing w:line="240" w:lineRule="auto"/>
        <w:rPr>
          <w:sz w:val="24"/>
          <w:szCs w:val="24"/>
        </w:rPr>
      </w:pPr>
    </w:p>
    <w:p w14:paraId="6138F66D" w14:textId="77777777" w:rsidR="00B05D78" w:rsidRDefault="00B0694D" w:rsidP="00CC70EF">
      <w:pPr>
        <w:spacing w:line="240" w:lineRule="auto"/>
        <w:rPr>
          <w:sz w:val="24"/>
          <w:szCs w:val="24"/>
        </w:rPr>
      </w:pPr>
      <w:r>
        <w:rPr>
          <w:noProof/>
          <w:sz w:val="24"/>
          <w:szCs w:val="24"/>
          <w:lang w:val="en-US"/>
        </w:rPr>
        <w:drawing>
          <wp:inline distT="114300" distB="114300" distL="114300" distR="114300" wp14:anchorId="2C18B216" wp14:editId="4A74C50B">
            <wp:extent cx="5815013" cy="46481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l="3846" t="2691" r="3525" b="1449"/>
                    <a:stretch>
                      <a:fillRect/>
                    </a:stretch>
                  </pic:blipFill>
                  <pic:spPr>
                    <a:xfrm>
                      <a:off x="0" y="0"/>
                      <a:ext cx="5815013" cy="4648120"/>
                    </a:xfrm>
                    <a:prstGeom prst="rect">
                      <a:avLst/>
                    </a:prstGeom>
                    <a:ln/>
                  </pic:spPr>
                </pic:pic>
              </a:graphicData>
            </a:graphic>
          </wp:inline>
        </w:drawing>
      </w:r>
    </w:p>
    <w:p w14:paraId="61529F45" w14:textId="77777777" w:rsidR="00B05D78" w:rsidRDefault="00B05D78" w:rsidP="00CC70EF">
      <w:pPr>
        <w:spacing w:line="240" w:lineRule="auto"/>
        <w:rPr>
          <w:sz w:val="24"/>
          <w:szCs w:val="24"/>
        </w:rPr>
      </w:pPr>
    </w:p>
    <w:p w14:paraId="39B4F495" w14:textId="77777777" w:rsidR="00B05D78" w:rsidRDefault="00B05D78" w:rsidP="00CC70EF">
      <w:pPr>
        <w:spacing w:line="240" w:lineRule="auto"/>
        <w:rPr>
          <w:b/>
          <w:sz w:val="24"/>
          <w:szCs w:val="24"/>
        </w:rPr>
      </w:pPr>
    </w:p>
    <w:p w14:paraId="6E17BBC9" w14:textId="77777777" w:rsidR="00BD35F9" w:rsidRDefault="00BD35F9" w:rsidP="00CC70EF">
      <w:pPr>
        <w:spacing w:line="240" w:lineRule="auto"/>
        <w:rPr>
          <w:b/>
          <w:sz w:val="24"/>
          <w:szCs w:val="24"/>
        </w:rPr>
      </w:pPr>
    </w:p>
    <w:p w14:paraId="1F8C0F0C" w14:textId="77777777" w:rsidR="00BD35F9" w:rsidRDefault="00BD35F9" w:rsidP="00CC70EF">
      <w:pPr>
        <w:spacing w:line="240" w:lineRule="auto"/>
        <w:rPr>
          <w:b/>
          <w:sz w:val="24"/>
          <w:szCs w:val="24"/>
        </w:rPr>
      </w:pPr>
    </w:p>
    <w:p w14:paraId="5B2A111B" w14:textId="77777777" w:rsidR="00BD35F9" w:rsidRDefault="00BD35F9" w:rsidP="00CC70EF">
      <w:pPr>
        <w:spacing w:line="240" w:lineRule="auto"/>
        <w:rPr>
          <w:b/>
          <w:sz w:val="24"/>
          <w:szCs w:val="24"/>
        </w:rPr>
      </w:pPr>
    </w:p>
    <w:p w14:paraId="77DF192A" w14:textId="77777777" w:rsidR="00B05D78" w:rsidRDefault="00B0694D" w:rsidP="00CC70EF">
      <w:pPr>
        <w:spacing w:line="240" w:lineRule="auto"/>
        <w:rPr>
          <w:b/>
          <w:sz w:val="24"/>
          <w:szCs w:val="24"/>
        </w:rPr>
      </w:pPr>
      <w:r>
        <w:rPr>
          <w:b/>
          <w:sz w:val="24"/>
          <w:szCs w:val="24"/>
        </w:rPr>
        <w:lastRenderedPageBreak/>
        <w:t>A</w:t>
      </w:r>
      <w:bookmarkStart w:id="26" w:name="_GoBack"/>
      <w:bookmarkEnd w:id="26"/>
      <w:r>
        <w:rPr>
          <w:b/>
          <w:sz w:val="24"/>
          <w:szCs w:val="24"/>
        </w:rPr>
        <w:t>ppendix 4</w:t>
      </w:r>
    </w:p>
    <w:p w14:paraId="44D550BA" w14:textId="77777777" w:rsidR="00B05D78" w:rsidRDefault="00B0694D" w:rsidP="00CC70EF">
      <w:pPr>
        <w:spacing w:line="240" w:lineRule="auto"/>
        <w:rPr>
          <w:b/>
          <w:sz w:val="24"/>
          <w:szCs w:val="24"/>
        </w:rPr>
      </w:pPr>
      <w:r>
        <w:rPr>
          <w:b/>
          <w:sz w:val="24"/>
          <w:szCs w:val="24"/>
        </w:rPr>
        <w:t>Indigenous Determinants of Health</w:t>
      </w:r>
    </w:p>
    <w:p w14:paraId="4686BBC6" w14:textId="77777777" w:rsidR="00B05D78" w:rsidRDefault="00B0694D" w:rsidP="00CC70EF">
      <w:pPr>
        <w:spacing w:line="240" w:lineRule="auto"/>
        <w:rPr>
          <w:b/>
          <w:sz w:val="24"/>
          <w:szCs w:val="24"/>
        </w:rPr>
      </w:pPr>
      <w:r>
        <w:rPr>
          <w:sz w:val="24"/>
          <w:szCs w:val="24"/>
        </w:rPr>
        <w:t>The social determinants of Indigenous health involve interrelated and intersecting determinants that affect the physical, emotional, mental and spiritual aspects of health for Indigenous Peoples, with consideration of the socio-political context and its effect on this population (</w:t>
      </w:r>
      <w:proofErr w:type="spellStart"/>
      <w:r>
        <w:rPr>
          <w:sz w:val="24"/>
          <w:szCs w:val="24"/>
        </w:rPr>
        <w:t>Loppie</w:t>
      </w:r>
      <w:proofErr w:type="spellEnd"/>
      <w:r>
        <w:rPr>
          <w:sz w:val="24"/>
          <w:szCs w:val="24"/>
        </w:rPr>
        <w:t xml:space="preserve"> Reading &amp; Wien, 2009). They are categorized as proximal, intermediate and distal determinants of health, which can all influence each other in dynamic and complex ways (</w:t>
      </w:r>
      <w:proofErr w:type="spellStart"/>
      <w:r>
        <w:rPr>
          <w:sz w:val="24"/>
          <w:szCs w:val="24"/>
        </w:rPr>
        <w:t>Loppie</w:t>
      </w:r>
      <w:proofErr w:type="spellEnd"/>
      <w:r>
        <w:rPr>
          <w:sz w:val="24"/>
          <w:szCs w:val="24"/>
        </w:rPr>
        <w:t xml:space="preserve"> Reading &amp; Wien, 2009). The proximal determinants of health consist of conditions that can directly impact not only physical health but also emotional, mental, and spiritual health, and can be viewed as representing the “root” of health outcomes (</w:t>
      </w:r>
      <w:proofErr w:type="spellStart"/>
      <w:r>
        <w:rPr>
          <w:sz w:val="24"/>
          <w:szCs w:val="24"/>
        </w:rPr>
        <w:t>Loppie</w:t>
      </w:r>
      <w:proofErr w:type="spellEnd"/>
      <w:r>
        <w:rPr>
          <w:sz w:val="24"/>
          <w:szCs w:val="24"/>
        </w:rPr>
        <w:t xml:space="preserve"> Reading &amp; Wien, 2009, p. 15). They include health </w:t>
      </w:r>
      <w:proofErr w:type="spellStart"/>
      <w:r>
        <w:rPr>
          <w:sz w:val="24"/>
          <w:szCs w:val="24"/>
        </w:rPr>
        <w:t>behaviours</w:t>
      </w:r>
      <w:proofErr w:type="spellEnd"/>
      <w:r>
        <w:rPr>
          <w:sz w:val="24"/>
          <w:szCs w:val="24"/>
        </w:rPr>
        <w:t>, the physical and social environment, socioeconomic status (employment, income, and education) and food insecurity (</w:t>
      </w:r>
      <w:proofErr w:type="spellStart"/>
      <w:r>
        <w:rPr>
          <w:sz w:val="24"/>
          <w:szCs w:val="24"/>
        </w:rPr>
        <w:t>Loppie</w:t>
      </w:r>
      <w:proofErr w:type="spellEnd"/>
      <w:r>
        <w:rPr>
          <w:sz w:val="24"/>
          <w:szCs w:val="24"/>
        </w:rPr>
        <w:t xml:space="preserve"> Reading &amp; Wien, 2009). The intermediate determinants of health can be viewed as the “origin” of many proximal determinants (</w:t>
      </w:r>
      <w:proofErr w:type="spellStart"/>
      <w:r>
        <w:rPr>
          <w:sz w:val="24"/>
          <w:szCs w:val="24"/>
        </w:rPr>
        <w:t>Loppie</w:t>
      </w:r>
      <w:proofErr w:type="spellEnd"/>
      <w:r>
        <w:rPr>
          <w:sz w:val="24"/>
          <w:szCs w:val="24"/>
        </w:rPr>
        <w:t xml:space="preserve"> Reading &amp; Wien, 2009, p. 15), and include healthcare systems, educational systems, community infrastructure, resources and capacities, environmental stewardship and cultural continuity (</w:t>
      </w:r>
      <w:proofErr w:type="spellStart"/>
      <w:r>
        <w:rPr>
          <w:sz w:val="24"/>
          <w:szCs w:val="24"/>
        </w:rPr>
        <w:t>Loppe</w:t>
      </w:r>
      <w:proofErr w:type="spellEnd"/>
      <w:r>
        <w:rPr>
          <w:sz w:val="24"/>
          <w:szCs w:val="24"/>
        </w:rPr>
        <w:t xml:space="preserve"> Reading &amp; Wien, 2009). Cultural continuity can be viewed as the “degree of social and cultural cohesion within a community” and includes sharing and passing traditions and traditional knowledge within families or from Elders to following generations (</w:t>
      </w:r>
      <w:proofErr w:type="spellStart"/>
      <w:r>
        <w:rPr>
          <w:sz w:val="24"/>
          <w:szCs w:val="24"/>
        </w:rPr>
        <w:t>Loppie</w:t>
      </w:r>
      <w:proofErr w:type="spellEnd"/>
      <w:r>
        <w:rPr>
          <w:sz w:val="24"/>
          <w:szCs w:val="24"/>
        </w:rPr>
        <w:t xml:space="preserve"> Reading &amp; Wien, 2009, p.18). The distal determinants of health have substantial influence on constructing the intermediate and proximal determinants of health, with regards to the historic, political, social and economic context (</w:t>
      </w:r>
      <w:proofErr w:type="spellStart"/>
      <w:r>
        <w:rPr>
          <w:sz w:val="24"/>
          <w:szCs w:val="24"/>
        </w:rPr>
        <w:t>Loppie</w:t>
      </w:r>
      <w:proofErr w:type="spellEnd"/>
      <w:r>
        <w:rPr>
          <w:sz w:val="24"/>
          <w:szCs w:val="24"/>
        </w:rPr>
        <w:t xml:space="preserve"> Reading &amp; Wien, 2009). These include colonialism, racism and social exclusion, and self-determination (</w:t>
      </w:r>
      <w:proofErr w:type="spellStart"/>
      <w:r>
        <w:rPr>
          <w:sz w:val="24"/>
          <w:szCs w:val="24"/>
        </w:rPr>
        <w:t>Loppie</w:t>
      </w:r>
      <w:proofErr w:type="spellEnd"/>
      <w:r>
        <w:rPr>
          <w:sz w:val="24"/>
          <w:szCs w:val="24"/>
        </w:rPr>
        <w:t xml:space="preserve"> Reading &amp; Wien, 2009). </w:t>
      </w:r>
    </w:p>
    <w:p w14:paraId="39DE6A5B" w14:textId="77777777" w:rsidR="00B05D78" w:rsidRDefault="00B05D78" w:rsidP="00CC70EF">
      <w:pPr>
        <w:spacing w:line="240" w:lineRule="auto"/>
        <w:rPr>
          <w:b/>
          <w:sz w:val="24"/>
          <w:szCs w:val="24"/>
        </w:rPr>
      </w:pPr>
    </w:p>
    <w:p w14:paraId="24A2ED37" w14:textId="77777777" w:rsidR="00B05D78" w:rsidRDefault="00B05D78" w:rsidP="00CC70EF">
      <w:pPr>
        <w:spacing w:line="240" w:lineRule="auto"/>
        <w:rPr>
          <w:b/>
          <w:sz w:val="24"/>
          <w:szCs w:val="24"/>
        </w:rPr>
      </w:pPr>
    </w:p>
    <w:p w14:paraId="19732DC0" w14:textId="77777777" w:rsidR="00B05D78" w:rsidRDefault="00B0694D" w:rsidP="00CC70EF">
      <w:pPr>
        <w:spacing w:line="240" w:lineRule="auto"/>
        <w:rPr>
          <w:sz w:val="24"/>
          <w:szCs w:val="24"/>
        </w:rPr>
      </w:pPr>
      <w:r>
        <w:rPr>
          <w:b/>
          <w:sz w:val="24"/>
          <w:szCs w:val="24"/>
        </w:rPr>
        <w:t xml:space="preserve">Appendix 5 </w:t>
      </w:r>
    </w:p>
    <w:p w14:paraId="72AEDF43" w14:textId="77777777" w:rsidR="00B05D78" w:rsidRDefault="00B0694D" w:rsidP="00BD35F9">
      <w:pPr>
        <w:widowControl w:val="0"/>
        <w:shd w:val="clear" w:color="auto" w:fill="FFFFFF"/>
        <w:spacing w:line="240" w:lineRule="auto"/>
        <w:rPr>
          <w:sz w:val="24"/>
          <w:szCs w:val="24"/>
        </w:rPr>
      </w:pPr>
      <w:r>
        <w:rPr>
          <w:noProof/>
          <w:sz w:val="24"/>
          <w:szCs w:val="24"/>
          <w:lang w:val="en-US"/>
        </w:rPr>
        <w:drawing>
          <wp:inline distT="114300" distB="114300" distL="114300" distR="114300" wp14:anchorId="7CB802AC" wp14:editId="3A4B6BDB">
            <wp:extent cx="5734395" cy="3106899"/>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5"/>
                    <a:srcRect/>
                    <a:stretch>
                      <a:fillRect/>
                    </a:stretch>
                  </pic:blipFill>
                  <pic:spPr>
                    <a:xfrm>
                      <a:off x="0" y="0"/>
                      <a:ext cx="5734395" cy="3106899"/>
                    </a:xfrm>
                    <a:prstGeom prst="rect">
                      <a:avLst/>
                    </a:prstGeom>
                    <a:ln/>
                  </pic:spPr>
                </pic:pic>
              </a:graphicData>
            </a:graphic>
          </wp:inline>
        </w:drawing>
      </w:r>
    </w:p>
    <w:p w14:paraId="39B7F63D" w14:textId="77777777" w:rsidR="00BD35F9" w:rsidRPr="00BD35F9" w:rsidRDefault="00BD35F9" w:rsidP="00BD35F9">
      <w:pPr>
        <w:widowControl w:val="0"/>
        <w:shd w:val="clear" w:color="auto" w:fill="FFFFFF"/>
        <w:spacing w:line="240" w:lineRule="auto"/>
        <w:rPr>
          <w:sz w:val="24"/>
          <w:szCs w:val="24"/>
        </w:rPr>
      </w:pPr>
    </w:p>
    <w:p w14:paraId="616E6763" w14:textId="77777777" w:rsidR="00B05D78" w:rsidRDefault="00B0694D" w:rsidP="00CC70EF">
      <w:pPr>
        <w:spacing w:line="240" w:lineRule="auto"/>
        <w:rPr>
          <w:sz w:val="24"/>
          <w:szCs w:val="24"/>
        </w:rPr>
      </w:pPr>
      <w:r>
        <w:rPr>
          <w:b/>
          <w:sz w:val="24"/>
          <w:szCs w:val="24"/>
        </w:rPr>
        <w:lastRenderedPageBreak/>
        <w:t>Appendix 6</w:t>
      </w:r>
    </w:p>
    <w:p w14:paraId="63812A03" w14:textId="77777777" w:rsidR="00B05D78" w:rsidRDefault="00B0694D" w:rsidP="00CC70EF">
      <w:pPr>
        <w:spacing w:line="240" w:lineRule="auto"/>
        <w:rPr>
          <w:sz w:val="24"/>
          <w:szCs w:val="24"/>
        </w:rPr>
      </w:pPr>
      <w:r>
        <w:rPr>
          <w:noProof/>
          <w:sz w:val="24"/>
          <w:szCs w:val="24"/>
          <w:lang w:val="en-US"/>
        </w:rPr>
        <w:drawing>
          <wp:inline distT="114300" distB="114300" distL="114300" distR="114300" wp14:anchorId="7A7595A2" wp14:editId="0BFA6955">
            <wp:extent cx="5815013" cy="365953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6"/>
                    <a:srcRect/>
                    <a:stretch>
                      <a:fillRect/>
                    </a:stretch>
                  </pic:blipFill>
                  <pic:spPr>
                    <a:xfrm>
                      <a:off x="0" y="0"/>
                      <a:ext cx="5815013" cy="3659530"/>
                    </a:xfrm>
                    <a:prstGeom prst="rect">
                      <a:avLst/>
                    </a:prstGeom>
                    <a:ln/>
                  </pic:spPr>
                </pic:pic>
              </a:graphicData>
            </a:graphic>
          </wp:inline>
        </w:drawing>
      </w:r>
    </w:p>
    <w:p w14:paraId="6D35A841" w14:textId="77777777" w:rsidR="00BD35F9" w:rsidRDefault="00BD35F9" w:rsidP="00CC70EF">
      <w:pPr>
        <w:spacing w:line="240" w:lineRule="auto"/>
        <w:rPr>
          <w:b/>
          <w:sz w:val="24"/>
          <w:szCs w:val="24"/>
        </w:rPr>
      </w:pPr>
    </w:p>
    <w:p w14:paraId="3E84A66C" w14:textId="77777777" w:rsidR="00B05D78" w:rsidRDefault="00B0694D" w:rsidP="00CC70EF">
      <w:pPr>
        <w:spacing w:line="240" w:lineRule="auto"/>
        <w:rPr>
          <w:b/>
          <w:sz w:val="24"/>
          <w:szCs w:val="24"/>
        </w:rPr>
      </w:pPr>
      <w:r>
        <w:rPr>
          <w:b/>
          <w:sz w:val="24"/>
          <w:szCs w:val="24"/>
        </w:rPr>
        <w:t>Appendix 7</w:t>
      </w:r>
    </w:p>
    <w:p w14:paraId="01F14ACA" w14:textId="77777777" w:rsidR="00B05D78" w:rsidRDefault="00B0694D" w:rsidP="00CC70EF">
      <w:pPr>
        <w:spacing w:line="240" w:lineRule="auto"/>
        <w:rPr>
          <w:sz w:val="24"/>
          <w:szCs w:val="24"/>
        </w:rPr>
      </w:pPr>
      <w:r>
        <w:rPr>
          <w:noProof/>
          <w:sz w:val="24"/>
          <w:szCs w:val="24"/>
          <w:lang w:val="en-US"/>
        </w:rPr>
        <w:drawing>
          <wp:inline distT="114300" distB="114300" distL="114300" distR="114300" wp14:anchorId="20A79090" wp14:editId="57619E02">
            <wp:extent cx="5912493" cy="358817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7"/>
                    <a:srcRect/>
                    <a:stretch>
                      <a:fillRect/>
                    </a:stretch>
                  </pic:blipFill>
                  <pic:spPr>
                    <a:xfrm>
                      <a:off x="0" y="0"/>
                      <a:ext cx="5912493" cy="3588172"/>
                    </a:xfrm>
                    <a:prstGeom prst="rect">
                      <a:avLst/>
                    </a:prstGeom>
                    <a:ln/>
                  </pic:spPr>
                </pic:pic>
              </a:graphicData>
            </a:graphic>
          </wp:inline>
        </w:drawing>
      </w:r>
    </w:p>
    <w:p w14:paraId="20CEDAC9" w14:textId="77777777" w:rsidR="00B05D78" w:rsidRDefault="00B05D78" w:rsidP="00CC70EF">
      <w:pPr>
        <w:spacing w:line="240" w:lineRule="auto"/>
        <w:rPr>
          <w:b/>
          <w:sz w:val="24"/>
          <w:szCs w:val="24"/>
        </w:rPr>
      </w:pPr>
    </w:p>
    <w:p w14:paraId="3AAC1BBA" w14:textId="77777777" w:rsidR="00BD35F9" w:rsidRDefault="00BD35F9" w:rsidP="00CC70EF">
      <w:pPr>
        <w:spacing w:line="240" w:lineRule="auto"/>
        <w:rPr>
          <w:b/>
          <w:sz w:val="24"/>
          <w:szCs w:val="24"/>
        </w:rPr>
      </w:pPr>
    </w:p>
    <w:p w14:paraId="77B07CB8" w14:textId="77777777" w:rsidR="00B05D78" w:rsidRDefault="00B0694D" w:rsidP="00CC70EF">
      <w:pPr>
        <w:spacing w:line="240" w:lineRule="auto"/>
        <w:rPr>
          <w:b/>
          <w:sz w:val="24"/>
          <w:szCs w:val="24"/>
        </w:rPr>
      </w:pPr>
      <w:r>
        <w:rPr>
          <w:b/>
          <w:sz w:val="24"/>
          <w:szCs w:val="24"/>
        </w:rPr>
        <w:lastRenderedPageBreak/>
        <w:t>Appendix 8</w:t>
      </w:r>
    </w:p>
    <w:p w14:paraId="48AD89FE" w14:textId="77777777" w:rsidR="00B05D78" w:rsidRDefault="00B0694D" w:rsidP="00CC70EF">
      <w:pPr>
        <w:spacing w:line="240" w:lineRule="auto"/>
        <w:rPr>
          <w:b/>
          <w:sz w:val="24"/>
          <w:szCs w:val="24"/>
        </w:rPr>
      </w:pPr>
      <w:r>
        <w:rPr>
          <w:noProof/>
          <w:sz w:val="24"/>
          <w:szCs w:val="24"/>
          <w:lang w:val="en-US"/>
        </w:rPr>
        <w:drawing>
          <wp:inline distT="114300" distB="114300" distL="114300" distR="114300" wp14:anchorId="56F78752" wp14:editId="710F3166">
            <wp:extent cx="5891213" cy="318908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8"/>
                    <a:srcRect/>
                    <a:stretch>
                      <a:fillRect/>
                    </a:stretch>
                  </pic:blipFill>
                  <pic:spPr>
                    <a:xfrm>
                      <a:off x="0" y="0"/>
                      <a:ext cx="5891213" cy="3189084"/>
                    </a:xfrm>
                    <a:prstGeom prst="rect">
                      <a:avLst/>
                    </a:prstGeom>
                    <a:ln/>
                  </pic:spPr>
                </pic:pic>
              </a:graphicData>
            </a:graphic>
          </wp:inline>
        </w:drawing>
      </w:r>
    </w:p>
    <w:p w14:paraId="4493A586" w14:textId="77777777" w:rsidR="00B05D78" w:rsidRDefault="00B05D78" w:rsidP="00CC70EF">
      <w:pPr>
        <w:spacing w:line="240" w:lineRule="auto"/>
        <w:rPr>
          <w:b/>
          <w:sz w:val="24"/>
          <w:szCs w:val="24"/>
        </w:rPr>
      </w:pPr>
    </w:p>
    <w:p w14:paraId="6F41CDC2" w14:textId="77777777" w:rsidR="00B05D78" w:rsidRDefault="00B05D78" w:rsidP="00CC70EF">
      <w:pPr>
        <w:spacing w:line="240" w:lineRule="auto"/>
        <w:rPr>
          <w:b/>
          <w:sz w:val="24"/>
          <w:szCs w:val="24"/>
        </w:rPr>
      </w:pPr>
    </w:p>
    <w:p w14:paraId="4A7F81A3" w14:textId="77777777" w:rsidR="00B05D78" w:rsidRDefault="00B05D78" w:rsidP="00CC70EF">
      <w:pPr>
        <w:spacing w:line="240" w:lineRule="auto"/>
        <w:rPr>
          <w:b/>
          <w:sz w:val="24"/>
          <w:szCs w:val="24"/>
        </w:rPr>
      </w:pPr>
    </w:p>
    <w:p w14:paraId="189D354A" w14:textId="77777777" w:rsidR="00B05D78" w:rsidRDefault="00B05D78" w:rsidP="00CC70EF">
      <w:pPr>
        <w:spacing w:line="240" w:lineRule="auto"/>
        <w:rPr>
          <w:b/>
          <w:sz w:val="24"/>
          <w:szCs w:val="24"/>
        </w:rPr>
      </w:pPr>
    </w:p>
    <w:p w14:paraId="62122103" w14:textId="77777777" w:rsidR="00B05D78" w:rsidRDefault="00B05D78" w:rsidP="00CC70EF">
      <w:pPr>
        <w:spacing w:line="240" w:lineRule="auto"/>
        <w:rPr>
          <w:b/>
          <w:sz w:val="24"/>
          <w:szCs w:val="24"/>
        </w:rPr>
      </w:pPr>
    </w:p>
    <w:p w14:paraId="6C8954B7" w14:textId="77777777" w:rsidR="00B05D78" w:rsidRDefault="00B05D78" w:rsidP="00CC70EF">
      <w:pPr>
        <w:spacing w:line="240" w:lineRule="auto"/>
        <w:rPr>
          <w:b/>
          <w:sz w:val="24"/>
          <w:szCs w:val="24"/>
        </w:rPr>
      </w:pPr>
    </w:p>
    <w:p w14:paraId="6B83EE82" w14:textId="77777777" w:rsidR="00B05D78" w:rsidRDefault="00B05D78" w:rsidP="00CC70EF">
      <w:pPr>
        <w:spacing w:line="240" w:lineRule="auto"/>
        <w:rPr>
          <w:b/>
          <w:sz w:val="24"/>
          <w:szCs w:val="24"/>
        </w:rPr>
      </w:pPr>
    </w:p>
    <w:p w14:paraId="3F61DF26" w14:textId="77777777" w:rsidR="00B05D78" w:rsidRDefault="00B05D78" w:rsidP="00CC70EF">
      <w:pPr>
        <w:spacing w:line="240" w:lineRule="auto"/>
        <w:rPr>
          <w:b/>
          <w:sz w:val="24"/>
          <w:szCs w:val="24"/>
        </w:rPr>
      </w:pPr>
    </w:p>
    <w:p w14:paraId="28BA7A44" w14:textId="77777777" w:rsidR="00B05D78" w:rsidRDefault="00B05D78" w:rsidP="00CC70EF">
      <w:pPr>
        <w:spacing w:line="240" w:lineRule="auto"/>
        <w:rPr>
          <w:b/>
          <w:sz w:val="24"/>
          <w:szCs w:val="24"/>
        </w:rPr>
      </w:pPr>
    </w:p>
    <w:p w14:paraId="14F144CB" w14:textId="77777777" w:rsidR="00B05D78" w:rsidRDefault="00B05D78" w:rsidP="00CC70EF">
      <w:pPr>
        <w:spacing w:line="240" w:lineRule="auto"/>
        <w:rPr>
          <w:b/>
          <w:sz w:val="24"/>
          <w:szCs w:val="24"/>
        </w:rPr>
      </w:pPr>
    </w:p>
    <w:p w14:paraId="06E8DB2B" w14:textId="77777777" w:rsidR="00BD35F9" w:rsidRDefault="00BD35F9" w:rsidP="00CC70EF">
      <w:pPr>
        <w:spacing w:line="240" w:lineRule="auto"/>
        <w:rPr>
          <w:b/>
          <w:sz w:val="24"/>
          <w:szCs w:val="24"/>
        </w:rPr>
      </w:pPr>
    </w:p>
    <w:p w14:paraId="2E2CB5AC" w14:textId="77777777" w:rsidR="00BD35F9" w:rsidRDefault="00BD35F9" w:rsidP="00CC70EF">
      <w:pPr>
        <w:spacing w:line="240" w:lineRule="auto"/>
        <w:rPr>
          <w:b/>
          <w:sz w:val="24"/>
          <w:szCs w:val="24"/>
        </w:rPr>
      </w:pPr>
    </w:p>
    <w:p w14:paraId="0442520B" w14:textId="77777777" w:rsidR="00BD35F9" w:rsidRDefault="00BD35F9" w:rsidP="00CC70EF">
      <w:pPr>
        <w:spacing w:line="240" w:lineRule="auto"/>
        <w:rPr>
          <w:b/>
          <w:sz w:val="24"/>
          <w:szCs w:val="24"/>
        </w:rPr>
      </w:pPr>
    </w:p>
    <w:p w14:paraId="7F521934" w14:textId="77777777" w:rsidR="00BD35F9" w:rsidRDefault="00BD35F9" w:rsidP="00CC70EF">
      <w:pPr>
        <w:spacing w:line="240" w:lineRule="auto"/>
        <w:rPr>
          <w:b/>
          <w:sz w:val="24"/>
          <w:szCs w:val="24"/>
        </w:rPr>
      </w:pPr>
    </w:p>
    <w:p w14:paraId="0B9DDC5A" w14:textId="77777777" w:rsidR="00BD35F9" w:rsidRDefault="00BD35F9" w:rsidP="00CC70EF">
      <w:pPr>
        <w:spacing w:line="240" w:lineRule="auto"/>
        <w:rPr>
          <w:b/>
          <w:sz w:val="24"/>
          <w:szCs w:val="24"/>
        </w:rPr>
      </w:pPr>
    </w:p>
    <w:p w14:paraId="421B10EF" w14:textId="77777777" w:rsidR="00BD35F9" w:rsidRDefault="00BD35F9" w:rsidP="00CC70EF">
      <w:pPr>
        <w:spacing w:line="240" w:lineRule="auto"/>
        <w:rPr>
          <w:b/>
          <w:sz w:val="24"/>
          <w:szCs w:val="24"/>
        </w:rPr>
      </w:pPr>
    </w:p>
    <w:p w14:paraId="2365690F" w14:textId="77777777" w:rsidR="00BD35F9" w:rsidRDefault="00BD35F9" w:rsidP="00CC70EF">
      <w:pPr>
        <w:spacing w:line="240" w:lineRule="auto"/>
        <w:rPr>
          <w:b/>
          <w:sz w:val="24"/>
          <w:szCs w:val="24"/>
        </w:rPr>
      </w:pPr>
    </w:p>
    <w:p w14:paraId="047C1BD3" w14:textId="77777777" w:rsidR="00BD35F9" w:rsidRDefault="00BD35F9" w:rsidP="00CC70EF">
      <w:pPr>
        <w:spacing w:line="240" w:lineRule="auto"/>
        <w:rPr>
          <w:b/>
          <w:sz w:val="24"/>
          <w:szCs w:val="24"/>
        </w:rPr>
      </w:pPr>
    </w:p>
    <w:p w14:paraId="28442A0C" w14:textId="77777777" w:rsidR="00BD35F9" w:rsidRDefault="00BD35F9" w:rsidP="00CC70EF">
      <w:pPr>
        <w:spacing w:line="240" w:lineRule="auto"/>
        <w:rPr>
          <w:b/>
          <w:sz w:val="24"/>
          <w:szCs w:val="24"/>
        </w:rPr>
      </w:pPr>
    </w:p>
    <w:p w14:paraId="5A0DD145" w14:textId="77777777" w:rsidR="00BD35F9" w:rsidRDefault="00BD35F9" w:rsidP="00CC70EF">
      <w:pPr>
        <w:spacing w:line="240" w:lineRule="auto"/>
        <w:rPr>
          <w:b/>
          <w:sz w:val="24"/>
          <w:szCs w:val="24"/>
        </w:rPr>
      </w:pPr>
    </w:p>
    <w:p w14:paraId="5F2225C5" w14:textId="77777777" w:rsidR="00BD35F9" w:rsidRDefault="00BD35F9" w:rsidP="00CC70EF">
      <w:pPr>
        <w:spacing w:line="240" w:lineRule="auto"/>
        <w:rPr>
          <w:b/>
          <w:sz w:val="24"/>
          <w:szCs w:val="24"/>
        </w:rPr>
      </w:pPr>
    </w:p>
    <w:p w14:paraId="3C0FF160" w14:textId="77777777" w:rsidR="00BD35F9" w:rsidRDefault="00BD35F9" w:rsidP="00CC70EF">
      <w:pPr>
        <w:spacing w:line="240" w:lineRule="auto"/>
        <w:rPr>
          <w:b/>
          <w:sz w:val="24"/>
          <w:szCs w:val="24"/>
        </w:rPr>
      </w:pPr>
    </w:p>
    <w:p w14:paraId="4AABBE8D" w14:textId="77777777" w:rsidR="00BD35F9" w:rsidRDefault="00BD35F9" w:rsidP="00CC70EF">
      <w:pPr>
        <w:spacing w:line="240" w:lineRule="auto"/>
        <w:rPr>
          <w:b/>
          <w:sz w:val="24"/>
          <w:szCs w:val="24"/>
        </w:rPr>
      </w:pPr>
    </w:p>
    <w:p w14:paraId="39B9F66C" w14:textId="77777777" w:rsidR="00BD35F9" w:rsidRDefault="00BD35F9" w:rsidP="00CC70EF">
      <w:pPr>
        <w:spacing w:line="240" w:lineRule="auto"/>
        <w:rPr>
          <w:b/>
          <w:sz w:val="24"/>
          <w:szCs w:val="24"/>
        </w:rPr>
      </w:pPr>
    </w:p>
    <w:p w14:paraId="2E2F66DA" w14:textId="77777777" w:rsidR="00BD35F9" w:rsidRDefault="00BD35F9" w:rsidP="00CC70EF">
      <w:pPr>
        <w:spacing w:line="240" w:lineRule="auto"/>
        <w:rPr>
          <w:b/>
          <w:sz w:val="24"/>
          <w:szCs w:val="24"/>
        </w:rPr>
      </w:pPr>
    </w:p>
    <w:p w14:paraId="6B8975F6" w14:textId="77777777" w:rsidR="00BD35F9" w:rsidRDefault="00BD35F9" w:rsidP="00CC70EF">
      <w:pPr>
        <w:spacing w:line="240" w:lineRule="auto"/>
        <w:rPr>
          <w:b/>
          <w:sz w:val="24"/>
          <w:szCs w:val="24"/>
        </w:rPr>
      </w:pPr>
    </w:p>
    <w:p w14:paraId="137F441F" w14:textId="77777777" w:rsidR="00BD35F9" w:rsidRDefault="00BD35F9" w:rsidP="00CC70EF">
      <w:pPr>
        <w:spacing w:line="240" w:lineRule="auto"/>
        <w:rPr>
          <w:b/>
          <w:sz w:val="24"/>
          <w:szCs w:val="24"/>
        </w:rPr>
      </w:pPr>
    </w:p>
    <w:p w14:paraId="14652684" w14:textId="77777777" w:rsidR="00B05D78" w:rsidRDefault="00B0694D" w:rsidP="00CC70EF">
      <w:pPr>
        <w:spacing w:line="240" w:lineRule="auto"/>
        <w:rPr>
          <w:b/>
          <w:sz w:val="24"/>
          <w:szCs w:val="24"/>
        </w:rPr>
      </w:pPr>
      <w:r>
        <w:rPr>
          <w:b/>
          <w:sz w:val="24"/>
          <w:szCs w:val="24"/>
        </w:rPr>
        <w:lastRenderedPageBreak/>
        <w:t>Appendix 9: UGTS Survey</w:t>
      </w:r>
    </w:p>
    <w:p w14:paraId="078353D9" w14:textId="77777777" w:rsidR="00B05D78" w:rsidRDefault="00B0694D" w:rsidP="00CC70EF">
      <w:pPr>
        <w:spacing w:line="240" w:lineRule="auto"/>
        <w:rPr>
          <w:b/>
          <w:sz w:val="24"/>
          <w:szCs w:val="24"/>
        </w:rPr>
      </w:pPr>
      <w:r>
        <w:rPr>
          <w:b/>
          <w:noProof/>
          <w:sz w:val="24"/>
          <w:szCs w:val="24"/>
          <w:lang w:val="en-US"/>
        </w:rPr>
        <w:drawing>
          <wp:inline distT="114300" distB="114300" distL="114300" distR="114300" wp14:anchorId="6EE7035F" wp14:editId="2F795451">
            <wp:extent cx="5943600" cy="6096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9"/>
                    <a:srcRect t="10285" b="10408"/>
                    <a:stretch>
                      <a:fillRect/>
                    </a:stretch>
                  </pic:blipFill>
                  <pic:spPr>
                    <a:xfrm>
                      <a:off x="0" y="0"/>
                      <a:ext cx="5943600" cy="6096000"/>
                    </a:xfrm>
                    <a:prstGeom prst="rect">
                      <a:avLst/>
                    </a:prstGeom>
                    <a:ln/>
                  </pic:spPr>
                </pic:pic>
              </a:graphicData>
            </a:graphic>
          </wp:inline>
        </w:drawing>
      </w:r>
    </w:p>
    <w:p w14:paraId="543460A8" w14:textId="77777777" w:rsidR="00B05D78" w:rsidRDefault="00B05D78" w:rsidP="00CC70EF">
      <w:pPr>
        <w:spacing w:line="240" w:lineRule="auto"/>
        <w:rPr>
          <w:b/>
          <w:sz w:val="24"/>
          <w:szCs w:val="24"/>
        </w:rPr>
      </w:pPr>
    </w:p>
    <w:p w14:paraId="786CE90A" w14:textId="77777777" w:rsidR="00B05D78" w:rsidRDefault="00B05D78" w:rsidP="00CC70EF">
      <w:pPr>
        <w:spacing w:line="240" w:lineRule="auto"/>
        <w:rPr>
          <w:b/>
          <w:sz w:val="24"/>
          <w:szCs w:val="24"/>
        </w:rPr>
      </w:pPr>
    </w:p>
    <w:p w14:paraId="053526F0" w14:textId="77777777" w:rsidR="00B05D78" w:rsidRDefault="00B05D78" w:rsidP="00CC70EF">
      <w:pPr>
        <w:spacing w:line="240" w:lineRule="auto"/>
        <w:rPr>
          <w:b/>
          <w:sz w:val="24"/>
          <w:szCs w:val="24"/>
        </w:rPr>
      </w:pPr>
    </w:p>
    <w:p w14:paraId="632373DE" w14:textId="77777777" w:rsidR="00B05D78" w:rsidRDefault="00B05D78" w:rsidP="00CC70EF">
      <w:pPr>
        <w:spacing w:line="240" w:lineRule="auto"/>
        <w:rPr>
          <w:b/>
          <w:sz w:val="24"/>
          <w:szCs w:val="24"/>
        </w:rPr>
      </w:pPr>
    </w:p>
    <w:p w14:paraId="6220EBB4" w14:textId="77777777" w:rsidR="00B05D78" w:rsidRDefault="00B05D78" w:rsidP="00CC70EF">
      <w:pPr>
        <w:spacing w:line="240" w:lineRule="auto"/>
        <w:rPr>
          <w:b/>
          <w:sz w:val="24"/>
          <w:szCs w:val="24"/>
        </w:rPr>
      </w:pPr>
    </w:p>
    <w:p w14:paraId="23FF535A" w14:textId="77777777" w:rsidR="00B05D78" w:rsidRDefault="00B05D78" w:rsidP="00CC70EF">
      <w:pPr>
        <w:spacing w:line="240" w:lineRule="auto"/>
        <w:rPr>
          <w:b/>
          <w:sz w:val="24"/>
          <w:szCs w:val="24"/>
        </w:rPr>
      </w:pPr>
    </w:p>
    <w:p w14:paraId="152D59F2" w14:textId="77777777" w:rsidR="00B05D78" w:rsidRDefault="00B05D78" w:rsidP="00CC70EF">
      <w:pPr>
        <w:spacing w:line="240" w:lineRule="auto"/>
        <w:rPr>
          <w:b/>
          <w:sz w:val="24"/>
          <w:szCs w:val="24"/>
        </w:rPr>
      </w:pPr>
    </w:p>
    <w:p w14:paraId="07E05FE0" w14:textId="77777777" w:rsidR="00B05D78" w:rsidRDefault="00B05D78" w:rsidP="00CC70EF">
      <w:pPr>
        <w:spacing w:line="240" w:lineRule="auto"/>
        <w:rPr>
          <w:b/>
          <w:sz w:val="24"/>
          <w:szCs w:val="24"/>
        </w:rPr>
      </w:pPr>
    </w:p>
    <w:p w14:paraId="45CAC860" w14:textId="77777777" w:rsidR="00B05D78" w:rsidRDefault="00B05D78" w:rsidP="00CC70EF">
      <w:pPr>
        <w:spacing w:line="240" w:lineRule="auto"/>
        <w:rPr>
          <w:b/>
          <w:sz w:val="24"/>
          <w:szCs w:val="24"/>
        </w:rPr>
      </w:pPr>
    </w:p>
    <w:p w14:paraId="0F75E6F7" w14:textId="77777777" w:rsidR="00B05D78" w:rsidRDefault="00B05D78" w:rsidP="00CC70EF">
      <w:pPr>
        <w:spacing w:line="240" w:lineRule="auto"/>
        <w:rPr>
          <w:b/>
          <w:sz w:val="24"/>
          <w:szCs w:val="24"/>
        </w:rPr>
      </w:pPr>
    </w:p>
    <w:p w14:paraId="392A4E46" w14:textId="77777777" w:rsidR="00BD35F9" w:rsidRDefault="00BD35F9" w:rsidP="00CC70EF">
      <w:pPr>
        <w:spacing w:line="240" w:lineRule="auto"/>
        <w:rPr>
          <w:b/>
          <w:sz w:val="24"/>
          <w:szCs w:val="24"/>
        </w:rPr>
      </w:pPr>
    </w:p>
    <w:p w14:paraId="2709A447" w14:textId="77777777" w:rsidR="00B05D78" w:rsidRDefault="00B0694D" w:rsidP="00CC70EF">
      <w:pPr>
        <w:spacing w:line="240" w:lineRule="auto"/>
        <w:rPr>
          <w:b/>
          <w:sz w:val="24"/>
          <w:szCs w:val="24"/>
        </w:rPr>
      </w:pPr>
      <w:r>
        <w:rPr>
          <w:b/>
          <w:sz w:val="24"/>
          <w:szCs w:val="24"/>
        </w:rPr>
        <w:lastRenderedPageBreak/>
        <w:t>Appendix 10: Monolithic Terms</w:t>
      </w:r>
    </w:p>
    <w:p w14:paraId="37F01142" w14:textId="77777777" w:rsidR="00B05D78" w:rsidRDefault="00B0694D" w:rsidP="00CC70EF">
      <w:pPr>
        <w:spacing w:line="240" w:lineRule="auto"/>
        <w:rPr>
          <w:b/>
          <w:sz w:val="24"/>
          <w:szCs w:val="24"/>
        </w:rPr>
      </w:pPr>
      <w:r>
        <w:rPr>
          <w:b/>
          <w:noProof/>
          <w:sz w:val="24"/>
          <w:szCs w:val="24"/>
          <w:lang w:val="en-US"/>
        </w:rPr>
        <w:drawing>
          <wp:inline distT="114300" distB="114300" distL="114300" distR="114300" wp14:anchorId="5CA46431" wp14:editId="29A4918E">
            <wp:extent cx="4852988" cy="27298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0"/>
                    <a:srcRect/>
                    <a:stretch>
                      <a:fillRect/>
                    </a:stretch>
                  </pic:blipFill>
                  <pic:spPr>
                    <a:xfrm>
                      <a:off x="0" y="0"/>
                      <a:ext cx="4852988" cy="2729805"/>
                    </a:xfrm>
                    <a:prstGeom prst="rect">
                      <a:avLst/>
                    </a:prstGeom>
                    <a:ln/>
                  </pic:spPr>
                </pic:pic>
              </a:graphicData>
            </a:graphic>
          </wp:inline>
        </w:drawing>
      </w:r>
    </w:p>
    <w:p w14:paraId="0FD2E62C" w14:textId="77777777" w:rsidR="00B05D78" w:rsidRDefault="00B05D78" w:rsidP="00CC70EF">
      <w:pPr>
        <w:spacing w:line="240" w:lineRule="auto"/>
        <w:rPr>
          <w:b/>
          <w:sz w:val="24"/>
          <w:szCs w:val="24"/>
        </w:rPr>
      </w:pPr>
    </w:p>
    <w:p w14:paraId="28D4ED9E" w14:textId="77777777" w:rsidR="00B05D78" w:rsidRDefault="00B05D78" w:rsidP="00CC70EF">
      <w:pPr>
        <w:spacing w:line="240" w:lineRule="auto"/>
        <w:rPr>
          <w:b/>
          <w:sz w:val="24"/>
          <w:szCs w:val="24"/>
        </w:rPr>
      </w:pPr>
    </w:p>
    <w:p w14:paraId="0BAC92C1" w14:textId="77777777" w:rsidR="00B05D78" w:rsidRDefault="00B0694D" w:rsidP="00CC70EF">
      <w:pPr>
        <w:spacing w:line="240" w:lineRule="auto"/>
        <w:rPr>
          <w:b/>
          <w:sz w:val="24"/>
          <w:szCs w:val="24"/>
        </w:rPr>
      </w:pPr>
      <w:r>
        <w:rPr>
          <w:b/>
          <w:sz w:val="24"/>
          <w:szCs w:val="24"/>
        </w:rPr>
        <w:t>Appendix 11: TCPS 2: CORE</w:t>
      </w:r>
    </w:p>
    <w:p w14:paraId="7686AD1C" w14:textId="77777777" w:rsidR="00B05D78" w:rsidRDefault="00B0694D" w:rsidP="00CC70EF">
      <w:pPr>
        <w:spacing w:line="240" w:lineRule="auto"/>
        <w:rPr>
          <w:b/>
          <w:sz w:val="24"/>
          <w:szCs w:val="24"/>
        </w:rPr>
      </w:pPr>
      <w:r>
        <w:rPr>
          <w:b/>
          <w:noProof/>
          <w:sz w:val="24"/>
          <w:szCs w:val="24"/>
          <w:lang w:val="en-US"/>
        </w:rPr>
        <w:drawing>
          <wp:inline distT="114300" distB="114300" distL="114300" distR="114300" wp14:anchorId="2970C1B0" wp14:editId="65C35341">
            <wp:extent cx="5943600" cy="4259182"/>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1"/>
                    <a:srcRect t="22265" b="22329"/>
                    <a:stretch>
                      <a:fillRect/>
                    </a:stretch>
                  </pic:blipFill>
                  <pic:spPr>
                    <a:xfrm>
                      <a:off x="0" y="0"/>
                      <a:ext cx="5943600" cy="4259182"/>
                    </a:xfrm>
                    <a:prstGeom prst="rect">
                      <a:avLst/>
                    </a:prstGeom>
                    <a:ln/>
                  </pic:spPr>
                </pic:pic>
              </a:graphicData>
            </a:graphic>
          </wp:inline>
        </w:drawing>
      </w:r>
    </w:p>
    <w:p w14:paraId="27ABF173" w14:textId="77777777" w:rsidR="00B05D78" w:rsidRDefault="00B05D78" w:rsidP="00CC70EF">
      <w:pPr>
        <w:spacing w:line="240" w:lineRule="auto"/>
        <w:rPr>
          <w:b/>
          <w:sz w:val="24"/>
          <w:szCs w:val="24"/>
        </w:rPr>
      </w:pPr>
    </w:p>
    <w:p w14:paraId="0A5AA05F" w14:textId="77777777" w:rsidR="00BD35F9" w:rsidRDefault="00BD35F9" w:rsidP="00CC70EF">
      <w:pPr>
        <w:spacing w:line="240" w:lineRule="auto"/>
        <w:rPr>
          <w:b/>
          <w:sz w:val="24"/>
          <w:szCs w:val="24"/>
        </w:rPr>
      </w:pPr>
    </w:p>
    <w:p w14:paraId="51C71CF3" w14:textId="77777777" w:rsidR="00B05D78" w:rsidRDefault="00B0694D" w:rsidP="00CC70EF">
      <w:pPr>
        <w:spacing w:line="240" w:lineRule="auto"/>
        <w:rPr>
          <w:b/>
          <w:sz w:val="24"/>
          <w:szCs w:val="24"/>
        </w:rPr>
      </w:pPr>
      <w:r>
        <w:rPr>
          <w:b/>
          <w:sz w:val="24"/>
          <w:szCs w:val="24"/>
        </w:rPr>
        <w:lastRenderedPageBreak/>
        <w:t>Appendix 12: Dietitians of Canada Population and Public Health Needs Assessments 2019</w:t>
      </w:r>
    </w:p>
    <w:p w14:paraId="5EAE7835" w14:textId="77777777" w:rsidR="00B05D78" w:rsidRDefault="00B05D78" w:rsidP="00CC70EF">
      <w:pPr>
        <w:spacing w:line="240" w:lineRule="auto"/>
        <w:rPr>
          <w:b/>
          <w:sz w:val="24"/>
          <w:szCs w:val="24"/>
        </w:rPr>
      </w:pPr>
    </w:p>
    <w:p w14:paraId="6646729A" w14:textId="77777777" w:rsidR="00B05D78" w:rsidRDefault="00B0694D" w:rsidP="00CC70EF">
      <w:pPr>
        <w:spacing w:line="240" w:lineRule="auto"/>
        <w:rPr>
          <w:b/>
          <w:sz w:val="24"/>
          <w:szCs w:val="24"/>
        </w:rPr>
      </w:pPr>
      <w:r>
        <w:rPr>
          <w:b/>
          <w:noProof/>
          <w:sz w:val="24"/>
          <w:szCs w:val="24"/>
          <w:lang w:val="en-US"/>
        </w:rPr>
        <w:drawing>
          <wp:inline distT="114300" distB="114300" distL="114300" distR="114300" wp14:anchorId="115DC80C" wp14:editId="55D02942">
            <wp:extent cx="5943600" cy="449429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2"/>
                    <a:srcRect t="20798" b="20718"/>
                    <a:stretch>
                      <a:fillRect/>
                    </a:stretch>
                  </pic:blipFill>
                  <pic:spPr>
                    <a:xfrm>
                      <a:off x="0" y="0"/>
                      <a:ext cx="5943600" cy="4494293"/>
                    </a:xfrm>
                    <a:prstGeom prst="rect">
                      <a:avLst/>
                    </a:prstGeom>
                    <a:ln/>
                  </pic:spPr>
                </pic:pic>
              </a:graphicData>
            </a:graphic>
          </wp:inline>
        </w:drawing>
      </w:r>
    </w:p>
    <w:p w14:paraId="37A7669F" w14:textId="77777777" w:rsidR="00B05D78" w:rsidRDefault="00B05D78" w:rsidP="00CC70EF">
      <w:pPr>
        <w:spacing w:line="240" w:lineRule="auto"/>
        <w:rPr>
          <w:b/>
          <w:sz w:val="24"/>
          <w:szCs w:val="24"/>
        </w:rPr>
      </w:pPr>
    </w:p>
    <w:sectPr w:rsidR="00B05D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56B3E"/>
    <w:multiLevelType w:val="multilevel"/>
    <w:tmpl w:val="F2B25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9B8423F"/>
    <w:multiLevelType w:val="multilevel"/>
    <w:tmpl w:val="4BE62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F544A02"/>
    <w:multiLevelType w:val="multilevel"/>
    <w:tmpl w:val="D9C04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D78"/>
    <w:rsid w:val="0004647D"/>
    <w:rsid w:val="002C785F"/>
    <w:rsid w:val="00412ADE"/>
    <w:rsid w:val="004A4C4E"/>
    <w:rsid w:val="00655E30"/>
    <w:rsid w:val="006A5622"/>
    <w:rsid w:val="006F6AF6"/>
    <w:rsid w:val="00701C93"/>
    <w:rsid w:val="009C4349"/>
    <w:rsid w:val="009F5EC0"/>
    <w:rsid w:val="00A123AB"/>
    <w:rsid w:val="00B05D78"/>
    <w:rsid w:val="00B0694D"/>
    <w:rsid w:val="00BD35F9"/>
    <w:rsid w:val="00CC70EF"/>
    <w:rsid w:val="00CD4B98"/>
    <w:rsid w:val="00EB3B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E6926A2"/>
  <w15:docId w15:val="{A6C9569B-B1A5-FB45-98DF-795F9328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CC70EF"/>
    <w:rPr>
      <w:color w:val="0000FF" w:themeColor="hyperlink"/>
      <w:u w:val="single"/>
    </w:rPr>
  </w:style>
  <w:style w:type="character" w:customStyle="1" w:styleId="UnresolvedMention">
    <w:name w:val="Unresolved Mention"/>
    <w:basedOn w:val="DefaultParagraphFont"/>
    <w:uiPriority w:val="99"/>
    <w:semiHidden/>
    <w:unhideWhenUsed/>
    <w:rsid w:val="00CC70EF"/>
    <w:rPr>
      <w:color w:val="605E5C"/>
      <w:shd w:val="clear" w:color="auto" w:fill="E1DFDD"/>
    </w:rPr>
  </w:style>
  <w:style w:type="character" w:styleId="FollowedHyperlink">
    <w:name w:val="FollowedHyperlink"/>
    <w:basedOn w:val="DefaultParagraphFont"/>
    <w:uiPriority w:val="99"/>
    <w:semiHidden/>
    <w:unhideWhenUsed/>
    <w:rsid w:val="00BD35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png"/><Relationship Id="rId102" Type="http://schemas.openxmlformats.org/officeDocument/2006/relationships/image" Target="media/image9.png"/><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jstor.org/stable/j.ctt9qfm0f" TargetMode="External"/><Relationship Id="rId6" Type="http://schemas.openxmlformats.org/officeDocument/2006/relationships/hyperlink" Target="https://doi.org/10.1007/s13412-012-0086-8" TargetMode="External"/><Relationship Id="rId7" Type="http://schemas.openxmlformats.org/officeDocument/2006/relationships/hyperlink" Target="https://jech.bmj.com/content/60/10/854" TargetMode="External"/><Relationship Id="rId8" Type="http://schemas.openxmlformats.org/officeDocument/2006/relationships/hyperlink" Target="https://methods-sagepub-com.ezproxy.library.ubc.ca/case/the-sharing-circle-method-understanding-indigenous-cancer-stories" TargetMode="External"/><Relationship Id="rId9" Type="http://schemas.openxmlformats.org/officeDocument/2006/relationships/hyperlink" Target="https://methods-sagepub-com.ezproxy.library.ubc.ca/case/the-sharing-circle-method-understanding-indigenous-cancer-stories" TargetMode="External"/><Relationship Id="rId10" Type="http://schemas.openxmlformats.org/officeDocument/2006/relationships/hyperlink" Target="https://methods-sagepub-com.ezproxy.library.ubc.ca/case/the-sharing-circle-method-understanding-indigenous-cancer-stories" TargetMode="External"/><Relationship Id="rId11" Type="http://schemas.openxmlformats.org/officeDocument/2006/relationships/hyperlink" Target="https://utmj.org/index.php/UTMJ/article/view/215" TargetMode="External"/><Relationship Id="rId12" Type="http://schemas.openxmlformats.org/officeDocument/2006/relationships/hyperlink" Target="https://doi.org/10.3316/QRJ1102038" TargetMode="External"/><Relationship Id="rId13" Type="http://schemas.openxmlformats.org/officeDocument/2006/relationships/hyperlink" Target="https://www.ncbi.nlm.nih.gov/pmc/articles/PMC5394999/pdf/hhr-18-209.pdf" TargetMode="External"/><Relationship Id="rId14" Type="http://schemas.openxmlformats.org/officeDocument/2006/relationships/hyperlink" Target="https://www.jstor.org/stable/j.ctvcwn92r" TargetMode="External"/><Relationship Id="rId15" Type="http://schemas.openxmlformats.org/officeDocument/2006/relationships/hyperlink" Target="https://web-a-ebscohost-com.ezproxy.library.ubc.ca/" TargetMode="External"/><Relationship Id="rId16" Type="http://schemas.openxmlformats.org/officeDocument/2006/relationships/hyperlink" Target="https://doi-org.ezproxy.library.ubc.ca/10.1016/j.socscimed.2018.01.029" TargetMode="External"/><Relationship Id="rId17" Type="http://schemas.openxmlformats.org/officeDocument/2006/relationships/hyperlink" Target="https://www.muse.jhu.edu/article/720868" TargetMode="External"/><Relationship Id="rId18" Type="http://schemas.openxmlformats.org/officeDocument/2006/relationships/hyperlink" Target="https://www.researchgate.net/publication/263848494_How_does_education_affect_labour_market_outcomes" TargetMode="External"/><Relationship Id="rId19" Type="http://schemas.openxmlformats.org/officeDocument/2006/relationships/hyperlink" Target="https://doi.org/10.1177/1524839914557862" TargetMode="External"/><Relationship Id="rId30" Type="http://schemas.openxmlformats.org/officeDocument/2006/relationships/hyperlink" Target="https://doi.org/10.1177%2F1609406918812346" TargetMode="External"/><Relationship Id="rId31" Type="http://schemas.openxmlformats.org/officeDocument/2006/relationships/hyperlink" Target="https://www.indigenousfoodsystems.org" TargetMode="External"/><Relationship Id="rId32" Type="http://schemas.openxmlformats.org/officeDocument/2006/relationships/hyperlink" Target="https://www.ccnsa-nccah.ca/docs/emerging/RPT-HealthUrbanAboriginal-Place-EN.pdf" TargetMode="External"/><Relationship Id="rId33" Type="http://schemas.openxmlformats.org/officeDocument/2006/relationships/hyperlink" Target="https://www.thecanadianencyclopedia.ca/en/article/chief" TargetMode="External"/><Relationship Id="rId34" Type="http://schemas.openxmlformats.org/officeDocument/2006/relationships/hyperlink" Target="https://www.thecanadianencyclopedia.ca/en/article/chief" TargetMode="External"/><Relationship Id="rId35" Type="http://schemas.openxmlformats.org/officeDocument/2006/relationships/hyperlink" Target="http://www3.brandonu.ca/cjns/16.1/Stiegelbauer.pdf" TargetMode="External"/><Relationship Id="rId36" Type="http://schemas.openxmlformats.org/officeDocument/2006/relationships/hyperlink" Target="https://proof.utoronto.ca/resources/proof-annual-reports/household-food-insecurity-in-canada-2017-2018/" TargetMode="External"/><Relationship Id="rId37" Type="http://schemas.openxmlformats.org/officeDocument/2006/relationships/hyperlink" Target="https://ezproxy.library.ubc.ca/login?url=https://www-proquest-com.ezproxy.library.ubc.ca/scholarly-journals/associations-between-household-food-insecurity/docview/903972820/se-2?accountid=14656" TargetMode="External"/><Relationship Id="rId38" Type="http://schemas.openxmlformats.org/officeDocument/2006/relationships/hyperlink" Target="https://www.britannica.com/topic/Westernization" TargetMode="External"/><Relationship Id="rId39" Type="http://schemas.openxmlformats.org/officeDocument/2006/relationships/hyperlink" Target="https://bcfarmersmarket.org/app/uploads/2021/03/BCAFM-Annual-Report-FINAL.pdf" TargetMode="External"/><Relationship Id="rId50" Type="http://schemas.openxmlformats.org/officeDocument/2006/relationships/hyperlink" Target="http://www.pennutrition.com." TargetMode="External"/><Relationship Id="rId51" Type="http://schemas.openxmlformats.org/officeDocument/2006/relationships/hyperlink" Target="https://genurb.apps01.yorku.ca/courses/feminist-research" TargetMode="External"/><Relationship Id="rId52" Type="http://schemas.openxmlformats.org/officeDocument/2006/relationships/hyperlink" Target="https://indigenousfoundations.arts.ubc.ca/terminology/" TargetMode="External"/><Relationship Id="rId53" Type="http://schemas.openxmlformats.org/officeDocument/2006/relationships/hyperlink" Target="https://fnigc.ca/ocap-training/" TargetMode="External"/><Relationship Id="rId54" Type="http://schemas.openxmlformats.org/officeDocument/2006/relationships/hyperlink" Target="http://www.northernpublicaffairs.ca/index/volume-5-issue-1/nutrition-north-canada-real-change-is-yet-to-come/" TargetMode="External"/><Relationship Id="rId55" Type="http://schemas.openxmlformats.org/officeDocument/2006/relationships/hyperlink" Target="https://foodsecurecanada.org/who-we-are/what-food-sovereignty" TargetMode="External"/><Relationship Id="rId56" Type="http://schemas.openxmlformats.org/officeDocument/2006/relationships/hyperlink" Target="https://foodsecurecanada.org/resources-news/news-media/national-food-policy-primer" TargetMode="External"/><Relationship Id="rId57" Type="http://schemas.openxmlformats.org/officeDocument/2006/relationships/hyperlink" Target="https://foodsecurecanada.org/resources-news/newsletters/3-access-food-urban-communities" TargetMode="External"/><Relationship Id="rId58" Type="http://schemas.openxmlformats.org/officeDocument/2006/relationships/hyperlink" Target="https://www2.gov.bc.ca/gov/content/taxes/income-taxes/personal/credits/farmers-food-donation" TargetMode="External"/><Relationship Id="rId59" Type="http://schemas.openxmlformats.org/officeDocument/2006/relationships/hyperlink" Target="https://www.agr.gc.ca/eng/about-our-department/key-departmental-initiatives/food-policy/the-food-policy-for-canada/?id=1597863791042" TargetMode="External"/><Relationship Id="rId70" Type="http://schemas.openxmlformats.org/officeDocument/2006/relationships/hyperlink" Target="https://www.straight.com/news/1225081/vancouvers-downtown-eastside-still-poorest-postal-code-canada" TargetMode="External"/><Relationship Id="rId71" Type="http://schemas.openxmlformats.org/officeDocument/2006/relationships/hyperlink" Target="https://www.straight.com/news/1225081/vancouvers-downtown-eastside-still-poorest-postal-code-canada" TargetMode="External"/><Relationship Id="rId72" Type="http://schemas.openxmlformats.org/officeDocument/2006/relationships/hyperlink" Target="https://www.cbc.ca/news/canada/british-columbia/metro-van-cities-food-stability-gap-2019-1.5384000" TargetMode="External"/><Relationship Id="rId73" Type="http://schemas.openxmlformats.org/officeDocument/2006/relationships/hyperlink" Target="https://bc.ctvnews.ca/we-" TargetMode="External"/><Relationship Id="rId74" Type="http://schemas.openxmlformats.org/officeDocument/2006/relationships/hyperlink" Target="https://bc.ctvnews.ca/we-have-effectively-turned-a-blind-eye-who-benefits-from-vancouver-s-community-gardens-1.4716103" TargetMode="External"/><Relationship Id="rId75" Type="http://schemas.openxmlformats.org/officeDocument/2006/relationships/hyperlink" Target="https://nccdh.ca/glossary/entry/upstream-downstream" TargetMode="External"/><Relationship Id="rId76" Type="http://schemas.openxmlformats.org/officeDocument/2006/relationships/hyperlink" Target="https://www.learningexchange.ubc.ca/files/2010/11/overviewdtes2016.pdf" TargetMode="External"/><Relationship Id="rId77" Type="http://schemas.openxmlformats.org/officeDocument/2006/relationships/hyperlink" Target="https://www.cbc.ca/news/canada/british-columbia/greater-vancouver-food-bank-concerned-over-tax-incentives-for-industrial-food-donations-1.3341301" TargetMode="External"/><Relationship Id="rId78" Type="http://schemas.openxmlformats.org/officeDocument/2006/relationships/hyperlink" Target="https://proof.utoronto.ca/food-insecurity/" TargetMode="External"/><Relationship Id="rId79" Type="http://schemas.openxmlformats.org/officeDocument/2006/relationships/hyperlink" Target="https://www.welcomebc.ca/Choose-B-C/Explore-British-Columbia" TargetMode="External"/><Relationship Id="rId90" Type="http://schemas.openxmlformats.org/officeDocument/2006/relationships/hyperlink" Target="https://students.ubc.ca/ubclife/what-land-acknowledgement" TargetMode="External"/><Relationship Id="rId91" Type="http://schemas.openxmlformats.org/officeDocument/2006/relationships/hyperlink" Target="https://vahs.life/tuwusht" TargetMode="External"/><Relationship Id="rId92" Type="http://schemas.openxmlformats.org/officeDocument/2006/relationships/hyperlink" Target="http://www.fao.org/3/w3613e/w3613e00.htm" TargetMode="External"/><Relationship Id="rId93" Type="http://schemas.openxmlformats.org/officeDocument/2006/relationships/hyperlink" Target="https://www.socialworker.com/feature-articles/practice/preventing-retraumatization-a-macro-social-work-approach-to-trauma-informed-practices-policies" TargetMode="External"/><Relationship Id="rId94" Type="http://schemas.openxmlformats.org/officeDocument/2006/relationships/image" Target="media/image1.png"/><Relationship Id="rId95" Type="http://schemas.openxmlformats.org/officeDocument/2006/relationships/image" Target="media/image2.png"/><Relationship Id="rId96" Type="http://schemas.openxmlformats.org/officeDocument/2006/relationships/image" Target="media/image3.png"/><Relationship Id="rId97" Type="http://schemas.openxmlformats.org/officeDocument/2006/relationships/image" Target="media/image4.png"/><Relationship Id="rId98" Type="http://schemas.openxmlformats.org/officeDocument/2006/relationships/image" Target="media/image5.png"/><Relationship Id="rId99" Type="http://schemas.openxmlformats.org/officeDocument/2006/relationships/image" Target="media/image6.png"/><Relationship Id="rId20" Type="http://schemas.openxmlformats.org/officeDocument/2006/relationships/hyperlink" Target="https://link.springer.com/article/10.1007%2Fs10460-019-09995-2" TargetMode="External"/><Relationship Id="rId21" Type="http://schemas.openxmlformats.org/officeDocument/2006/relationships/hyperlink" Target="https://doi-org.ezproxy.library.ubc.ca/10.1136/bmj.e5466" TargetMode="External"/><Relationship Id="rId22" Type="http://schemas.openxmlformats.org/officeDocument/2006/relationships/hyperlink" Target="http://www.bccdc.ca/pop-public-health/%20Documents/Household%20food%20insecurity%20in%20BC_full%20report.pdf" TargetMode="External"/><Relationship Id="rId23" Type="http://schemas.openxmlformats.org/officeDocument/2006/relationships/hyperlink" Target="https://www.nccah-ccnsa.ca/docs/social%20determinates/nccah-loppie-wien_report.pdf" TargetMode="External"/><Relationship Id="rId24" Type="http://schemas.openxmlformats.org/officeDocument/2006/relationships/hyperlink" Target="https://doi.org/10.1177%2F1043659611414141" TargetMode="External"/><Relationship Id="rId25" Type="http://schemas.openxmlformats.org/officeDocument/2006/relationships/hyperlink" Target="http://www.bccdc.ca/pop-public-health/Documents/Increasing%20Indigenous%20children%27s%20access%20to%20traditional%20foods_full%20report.pdf" TargetMode="External"/><Relationship Id="rId26" Type="http://schemas.openxmlformats.org/officeDocument/2006/relationships/hyperlink" Target="http://www.fao.org/3/i3144e/i3144e.pdf" TargetMode="External"/><Relationship Id="rId27" Type="http://schemas.openxmlformats.org/officeDocument/2006/relationships/hyperlink" Target="https://doi.org/10.1787/9789264300477-6-en" TargetMode="External"/><Relationship Id="rId28" Type="http://schemas.openxmlformats.org/officeDocument/2006/relationships/hyperlink" Target="https://phabc.org/wp-content/uploads/2015/07/FINAL_HEFS_Report_Apr-29.pdf" TargetMode="External"/><Relationship Id="rId29" Type="http://schemas.openxmlformats.org/officeDocument/2006/relationships/hyperlink" Target="https://doi.org/10.1093/acrefore/9780190632366.013.86" TargetMode="External"/><Relationship Id="rId40" Type="http://schemas.openxmlformats.org/officeDocument/2006/relationships/hyperlink" Target="https://news.gov.bc.ca/releases/2020HLTH0031-001028" TargetMode="External"/><Relationship Id="rId41" Type="http://schemas.openxmlformats.org/officeDocument/2006/relationships/hyperlink" Target="https://www2.gov.bc.ca/assets/gov/health/about-bc-s-health-care-system/public-health/healthy-living-and-healthy-communities/food-security-evidence-review.pdf" TargetMode="External"/><Relationship Id="rId42" Type="http://schemas.openxmlformats.org/officeDocument/2006/relationships/hyperlink" Target="https://www2.gov.bc.ca/assets/gov/health/about-bc-s-health-care-system/public-health/healthy-living-and-healthy-communities/food-security-evidence-review.pdf" TargetMode="External"/><Relationship Id="rId43" Type="http://schemas.openxmlformats.org/officeDocument/2006/relationships/hyperlink" Target="https://www2.gov.bc.ca/assets/gov/health/about-bc-s-health-care-system/public-health/healthy-living-and-healthy-communities/food-security-evidence-review.pdf" TargetMode="External"/><Relationship Id="rId44" Type="http://schemas.openxmlformats.org/officeDocument/2006/relationships/hyperlink" Target="https://opentextbc.ca/%20indigenizationfoundations/chapter/acknowledging-traditional-territories/" TargetMode="External"/><Relationship Id="rId45" Type="http://schemas.openxmlformats.org/officeDocument/2006/relationships/hyperlink" Target="https://bctf.ca/uploadedFiles/Public/AboriginalEducation/AboriginalTimelineHistory.pdf" TargetMode="External"/><Relationship Id="rId46" Type="http://schemas.openxmlformats.org/officeDocument/2006/relationships/hyperlink" Target="https://www.nortonrosefulbright.com/en-ca/knowledge/publications/32ff0686/new-bc-legislation-now-in-force-to-implement-declaration-on-the-rights-of-indigenous-peoples-act." TargetMode="External"/><Relationship Id="rId47" Type="http://schemas.openxmlformats.org/officeDocument/2006/relationships/hyperlink" Target="https://vancouver.ca/files/cov/pdi-covid-current-state-report-january-2021.pdf" TargetMode="External"/><Relationship Id="rId48" Type="http://schemas.openxmlformats.org/officeDocument/2006/relationships/hyperlink" Target="https://proof.utoronto.ca/food-waste-and-food-insecurity%20-in-canada/" TargetMode="External"/><Relationship Id="rId49" Type="http://schemas.openxmlformats.org/officeDocument/2006/relationships/hyperlink" Target="https://www.dictionary.com/browse/off-reserve" TargetMode="External"/><Relationship Id="rId60" Type="http://schemas.openxmlformats.org/officeDocument/2006/relationships/hyperlink" Target="https://www.nutritionnorthcanada.gc.ca/eng/1415538638170/1415538670874" TargetMode="External"/><Relationship Id="rId61" Type="http://schemas.openxmlformats.org/officeDocument/2006/relationships/hyperlink" Target="https://www.justice.gc.ca/eng/declaration/index.html" TargetMode="External"/><Relationship Id="rId62" Type="http://schemas.openxmlformats.org/officeDocument/2006/relationships/hyperlink" Target="https://indigenousfoundations." TargetMode="External"/><Relationship Id="rId63" Type="http://schemas.openxmlformats.org/officeDocument/2006/relationships/hyperlink" Target="https://indigenousfoundations." TargetMode="External"/><Relationship Id="rId64" Type="http://schemas.openxmlformats.org/officeDocument/2006/relationships/hyperlink" Target="https://indigenousfoundations." TargetMode="External"/><Relationship Id="rId65" Type="http://schemas.openxmlformats.org/officeDocument/2006/relationships/hyperlink" Target="https://aboriginal.landfood.ubc.ca/tuwusht-garden-project-vancouver-native-health-society/" TargetMode="External"/><Relationship Id="rId66" Type="http://schemas.openxmlformats.org/officeDocument/2006/relationships/hyperlink" Target="https://www.fnha.ca/Documents/Traditional_Food_Fact_Sheets.pdf" TargetMode="External"/><Relationship Id="rId67" Type="http://schemas.openxmlformats.org/officeDocument/2006/relationships/hyperlink" Target="https://ebookcentral.proquest.com/lib/ubc/detail.action?docID=4672931" TargetMode="External"/><Relationship Id="rId68" Type="http://schemas.openxmlformats.org/officeDocument/2006/relationships/hyperlink" Target="https://salishseasentinel.ca/2020/06/ubc-indigenous-led-garden" TargetMode="External"/><Relationship Id="rId69" Type="http://schemas.openxmlformats.org/officeDocument/2006/relationships/hyperlink" Target="https://www.straight.com/news/1225081/vancouvers-downtown-eastside-still-poorest-postal-code-canada" TargetMode="External"/><Relationship Id="rId100" Type="http://schemas.openxmlformats.org/officeDocument/2006/relationships/image" Target="media/image7.png"/><Relationship Id="rId80" Type="http://schemas.openxmlformats.org/officeDocument/2006/relationships/hyperlink" Target="https://www.queensu.ca/indigenous/ways-knowing/elders-knowledge-keepers-and-cultural-advisors" TargetMode="External"/><Relationship Id="rId81" Type="http://schemas.openxmlformats.org/officeDocument/2006/relationships/hyperlink" Target="https://www.sfu.ca/brc/online_exhibits%20/masks-2-0/the-potlatch-ban.html" TargetMode="External"/><Relationship Id="rId82" Type="http://schemas.openxmlformats.org/officeDocument/2006/relationships/hyperlink" Target="https://www.statcan.gc.ca/eng/subjects/standard/sgc/notice/sgc-06?fbcli%20d=IwAR0lvD1nCAD_WtUqJQHlILYkLvrZajI6YmHFbFlxFXws3V7JbeJ8C4-IwHI" TargetMode="External"/><Relationship Id="rId83" Type="http://schemas.openxmlformats.org/officeDocument/2006/relationships/hyperlink" Target="https://www150.statcan.gc.ca" TargetMode="External"/><Relationship Id="rId84" Type="http://schemas.openxmlformats.org/officeDocument/2006/relationships/hyperlink" Target="https://www150.statcan.gc.ca" TargetMode="External"/><Relationship Id="rId85" Type="http://schemas.openxmlformats.org/officeDocument/2006/relationships/hyperlink" Target="https://www150.statcan.gc.ca/n1/daily-quotidien/171025/dq171025a-eng.htm" TargetMode="External"/><Relationship Id="rId86" Type="http://schemas.openxmlformats.org/officeDocument/2006/relationships/hyperlink" Target="https://www150.statcan.gc.ca/n1/pub/11-631-x/2020004/s7-eng.htm" TargetMode="External"/><Relationship Id="rId87" Type="http://schemas.openxmlformats.org/officeDocument/2006/relationships/hyperlink" Target="http://trc.ca/assets/pdf/Calls_to_Action_English2.pdf" TargetMode="External"/><Relationship Id="rId88" Type="http://schemas.openxmlformats.org/officeDocument/2006/relationships/hyperlink" Target="http://www.trc.ca/about-us.html" TargetMode="External"/><Relationship Id="rId89" Type="http://schemas.openxmlformats.org/officeDocument/2006/relationships/hyperlink" Target="https://www.un.org/development/desa/indigenouspeoples/declaration-on-the-rights-of-indigenous-peop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8140</Words>
  <Characters>46400</Characters>
  <Application>Microsoft Macintosh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Cathy Zhu</cp:lastModifiedBy>
  <cp:revision>13</cp:revision>
  <dcterms:created xsi:type="dcterms:W3CDTF">2021-05-24T20:45:00Z</dcterms:created>
  <dcterms:modified xsi:type="dcterms:W3CDTF">2021-05-24T21:16:00Z</dcterms:modified>
</cp:coreProperties>
</file>